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111"/>
        <w:tblW w:w="4999" w:type="pct"/>
        <w:tblLook w:val="04A0" w:firstRow="1" w:lastRow="0" w:firstColumn="1" w:lastColumn="0" w:noHBand="0" w:noVBand="1"/>
        <w:tblCaption w:val="This table contains check boxes and suggested actions for districts implementing the SCTS for 2017-18, 2018-19 and 2019-20. "/>
      </w:tblPr>
      <w:tblGrid>
        <w:gridCol w:w="4392"/>
        <w:gridCol w:w="4392"/>
        <w:gridCol w:w="4389"/>
      </w:tblGrid>
      <w:tr w:rsidR="0012569D" w:rsidRPr="002F555F" w14:paraId="7735478A" w14:textId="77777777" w:rsidTr="005E11BC">
        <w:trPr>
          <w:tblHeader/>
        </w:trPr>
        <w:tc>
          <w:tcPr>
            <w:tcW w:w="1667" w:type="pct"/>
            <w:shd w:val="clear" w:color="auto" w:fill="D9D9D9" w:themeFill="background1" w:themeFillShade="D9"/>
          </w:tcPr>
          <w:p w14:paraId="2A7565A5" w14:textId="77777777" w:rsidR="0012569D" w:rsidRPr="001F28F9" w:rsidRDefault="0012569D" w:rsidP="0012569D">
            <w:pPr>
              <w:pStyle w:val="Heading2"/>
            </w:pPr>
            <w:r w:rsidRPr="001F28F9">
              <w:t>2017–2018 Transition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74C9242F" w14:textId="77777777" w:rsidR="0012569D" w:rsidRPr="001F28F9" w:rsidRDefault="0012569D" w:rsidP="0012569D">
            <w:pPr>
              <w:pStyle w:val="Heading2"/>
            </w:pPr>
            <w:r w:rsidRPr="001F28F9">
              <w:t>2018–19 Implementation Year 1</w:t>
            </w:r>
          </w:p>
        </w:tc>
        <w:tc>
          <w:tcPr>
            <w:tcW w:w="1666" w:type="pct"/>
            <w:shd w:val="clear" w:color="auto" w:fill="D9D9D9" w:themeFill="background1" w:themeFillShade="D9"/>
          </w:tcPr>
          <w:p w14:paraId="637E1695" w14:textId="77777777" w:rsidR="0012569D" w:rsidRPr="001F28F9" w:rsidRDefault="0012569D" w:rsidP="0012569D">
            <w:pPr>
              <w:pStyle w:val="Heading2"/>
            </w:pPr>
            <w:r w:rsidRPr="001F28F9">
              <w:t>2019–20 Implementation Year 2</w:t>
            </w:r>
          </w:p>
        </w:tc>
      </w:tr>
      <w:tr w:rsidR="0012569D" w:rsidRPr="002F555F" w14:paraId="763067BC" w14:textId="77777777" w:rsidTr="0012569D">
        <w:tc>
          <w:tcPr>
            <w:tcW w:w="1667" w:type="pct"/>
          </w:tcPr>
          <w:p w14:paraId="52066B2C" w14:textId="77777777" w:rsidR="0012569D" w:rsidRPr="002F555F" w:rsidRDefault="0012569D" w:rsidP="0012569D">
            <w:pPr>
              <w:rPr>
                <w:b/>
              </w:rPr>
            </w:pPr>
            <w:r w:rsidRPr="002F555F">
              <w:rPr>
                <w:b/>
              </w:rPr>
              <w:t xml:space="preserve">Districts create opportunities for schools and evaluators to </w:t>
            </w:r>
            <w:r w:rsidRPr="002F555F">
              <w:rPr>
                <w:b/>
                <w:u w:val="single"/>
              </w:rPr>
              <w:t>practice using SCTS</w:t>
            </w:r>
            <w:r w:rsidRPr="002F555F">
              <w:rPr>
                <w:b/>
              </w:rPr>
              <w:t xml:space="preserve">.  </w:t>
            </w:r>
          </w:p>
        </w:tc>
        <w:tc>
          <w:tcPr>
            <w:tcW w:w="1667" w:type="pct"/>
          </w:tcPr>
          <w:p w14:paraId="5B4A6281" w14:textId="77777777" w:rsidR="0012569D" w:rsidRPr="002F555F" w:rsidRDefault="0012569D" w:rsidP="0012569D">
            <w:pPr>
              <w:rPr>
                <w:b/>
              </w:rPr>
            </w:pPr>
            <w:r w:rsidRPr="002F555F">
              <w:rPr>
                <w:b/>
                <w:u w:val="single"/>
              </w:rPr>
              <w:t xml:space="preserve">SC </w:t>
            </w:r>
            <w:r>
              <w:rPr>
                <w:b/>
                <w:u w:val="single"/>
              </w:rPr>
              <w:t>classroom-based t</w:t>
            </w:r>
            <w:r w:rsidRPr="002F555F">
              <w:rPr>
                <w:b/>
                <w:u w:val="single"/>
              </w:rPr>
              <w:t>eachers at every contract level are supported with SCTS.</w:t>
            </w:r>
          </w:p>
        </w:tc>
        <w:tc>
          <w:tcPr>
            <w:tcW w:w="1666" w:type="pct"/>
          </w:tcPr>
          <w:p w14:paraId="4FB1E1CD" w14:textId="77777777" w:rsidR="0012569D" w:rsidRPr="002F555F" w:rsidRDefault="0012569D" w:rsidP="0012569D">
            <w:pPr>
              <w:rPr>
                <w:b/>
                <w:u w:val="single"/>
              </w:rPr>
            </w:pPr>
            <w:r w:rsidRPr="002F555F">
              <w:rPr>
                <w:b/>
                <w:u w:val="single"/>
              </w:rPr>
              <w:t xml:space="preserve">SC </w:t>
            </w:r>
            <w:r>
              <w:rPr>
                <w:b/>
                <w:u w:val="single"/>
              </w:rPr>
              <w:t>classroom-based t</w:t>
            </w:r>
            <w:r w:rsidRPr="002F555F">
              <w:rPr>
                <w:b/>
                <w:u w:val="single"/>
              </w:rPr>
              <w:t xml:space="preserve">eachers at every contract level are supported with SCTS. </w:t>
            </w:r>
          </w:p>
        </w:tc>
      </w:tr>
      <w:tr w:rsidR="0012569D" w:rsidRPr="002F555F" w14:paraId="76ABBB0A" w14:textId="77777777" w:rsidTr="0012569D">
        <w:tc>
          <w:tcPr>
            <w:tcW w:w="5000" w:type="pct"/>
            <w:gridSpan w:val="3"/>
            <w:shd w:val="clear" w:color="auto" w:fill="D9D9D9" w:themeFill="background1" w:themeFillShade="D9"/>
          </w:tcPr>
          <w:p w14:paraId="3A089793" w14:textId="77777777" w:rsidR="0012569D" w:rsidRPr="001F28F9" w:rsidRDefault="0012569D" w:rsidP="0012569D">
            <w:pPr>
              <w:pStyle w:val="Heading3"/>
            </w:pPr>
            <w:r w:rsidRPr="001F28F9">
              <w:t>System Support</w:t>
            </w:r>
          </w:p>
        </w:tc>
      </w:tr>
      <w:tr w:rsidR="0012569D" w:rsidRPr="002F555F" w14:paraId="2286FFD9" w14:textId="77777777" w:rsidTr="0012569D">
        <w:tc>
          <w:tcPr>
            <w:tcW w:w="1667" w:type="pct"/>
          </w:tcPr>
          <w:p w14:paraId="35336A44" w14:textId="77777777" w:rsidR="0012569D" w:rsidRPr="002F555F" w:rsidRDefault="0012569D" w:rsidP="0012569D">
            <w:pPr>
              <w:rPr>
                <w:b/>
              </w:rPr>
            </w:pPr>
            <w:r w:rsidRPr="002F555F">
              <w:rPr>
                <w:b/>
              </w:rPr>
              <w:t xml:space="preserve">Culture </w:t>
            </w:r>
          </w:p>
          <w:p w14:paraId="10808175" w14:textId="77777777" w:rsidR="0012569D" w:rsidRPr="002F555F" w:rsidRDefault="0012569D" w:rsidP="0012569D">
            <w:pPr>
              <w:pStyle w:val="ListParagraph"/>
              <w:numPr>
                <w:ilvl w:val="0"/>
                <w:numId w:val="27"/>
              </w:numPr>
              <w:rPr>
                <w:b/>
              </w:rPr>
            </w:pPr>
            <w:r w:rsidRPr="002F555F">
              <w:t xml:space="preserve">District models the value of professional growth and development as it makes decisions about observation, evaluation, and teacher support. </w:t>
            </w:r>
          </w:p>
          <w:p w14:paraId="25306668" w14:textId="77777777" w:rsidR="0012569D" w:rsidRDefault="0012569D" w:rsidP="0012569D">
            <w:pPr>
              <w:rPr>
                <w:b/>
              </w:rPr>
            </w:pPr>
          </w:p>
          <w:p w14:paraId="2CF3154F" w14:textId="77777777" w:rsidR="0012569D" w:rsidRPr="002F555F" w:rsidRDefault="0012569D" w:rsidP="0012569D">
            <w:pPr>
              <w:rPr>
                <w:b/>
              </w:rPr>
            </w:pPr>
            <w:r w:rsidRPr="002F555F">
              <w:rPr>
                <w:b/>
              </w:rPr>
              <w:t>Professional Development (PD) Design</w:t>
            </w:r>
          </w:p>
          <w:p w14:paraId="04854D32" w14:textId="77777777" w:rsidR="0012569D" w:rsidRPr="002F555F" w:rsidRDefault="0012569D" w:rsidP="0012569D">
            <w:pPr>
              <w:pStyle w:val="ListParagraph"/>
              <w:numPr>
                <w:ilvl w:val="0"/>
                <w:numId w:val="20"/>
              </w:numPr>
              <w:rPr>
                <w:b/>
              </w:rPr>
            </w:pPr>
            <w:r w:rsidRPr="002F555F">
              <w:t xml:space="preserve">District PD exposes teachers and evaluators to at least one rubric indicator. </w:t>
            </w:r>
          </w:p>
          <w:p w14:paraId="08EF344F" w14:textId="77777777" w:rsidR="0012569D" w:rsidRDefault="0012569D" w:rsidP="0012569D">
            <w:pPr>
              <w:rPr>
                <w:b/>
              </w:rPr>
            </w:pPr>
          </w:p>
          <w:p w14:paraId="20592BC2" w14:textId="77777777" w:rsidR="0012569D" w:rsidRPr="002F555F" w:rsidRDefault="0012569D" w:rsidP="0012569D">
            <w:pPr>
              <w:rPr>
                <w:b/>
              </w:rPr>
            </w:pPr>
          </w:p>
          <w:p w14:paraId="5BB67691" w14:textId="77777777" w:rsidR="0012569D" w:rsidRPr="002F555F" w:rsidRDefault="0012569D" w:rsidP="0012569D">
            <w:pPr>
              <w:rPr>
                <w:b/>
              </w:rPr>
            </w:pPr>
            <w:r w:rsidRPr="002F555F">
              <w:rPr>
                <w:b/>
              </w:rPr>
              <w:t>Communication</w:t>
            </w:r>
          </w:p>
          <w:p w14:paraId="01EF778A" w14:textId="77777777" w:rsidR="0012569D" w:rsidRPr="002F555F" w:rsidRDefault="0012569D" w:rsidP="0012569D">
            <w:pPr>
              <w:pStyle w:val="ListParagraph"/>
              <w:numPr>
                <w:ilvl w:val="0"/>
                <w:numId w:val="20"/>
              </w:numPr>
              <w:rPr>
                <w:b/>
              </w:rPr>
            </w:pPr>
            <w:r w:rsidRPr="002F555F">
              <w:t xml:space="preserve">District and school leaders preview rubric with teachers and other key stakeholders </w:t>
            </w:r>
          </w:p>
          <w:p w14:paraId="5AC99AF5" w14:textId="77777777" w:rsidR="0012569D" w:rsidRPr="002F555F" w:rsidRDefault="0012569D" w:rsidP="0012569D">
            <w:pPr>
              <w:pStyle w:val="ListParagraph"/>
              <w:ind w:left="360"/>
              <w:rPr>
                <w:b/>
              </w:rPr>
            </w:pPr>
          </w:p>
          <w:p w14:paraId="034AA132" w14:textId="77777777" w:rsidR="0012569D" w:rsidRPr="002F555F" w:rsidRDefault="0012569D" w:rsidP="0012569D">
            <w:pPr>
              <w:pStyle w:val="ListParagraph"/>
              <w:numPr>
                <w:ilvl w:val="0"/>
                <w:numId w:val="20"/>
              </w:numPr>
            </w:pPr>
            <w:r w:rsidRPr="002F555F">
              <w:t xml:space="preserve">Relevant communications from SCDE reach all stakeholders. </w:t>
            </w:r>
          </w:p>
        </w:tc>
        <w:tc>
          <w:tcPr>
            <w:tcW w:w="1667" w:type="pct"/>
          </w:tcPr>
          <w:p w14:paraId="6116ACC4" w14:textId="77777777" w:rsidR="0012569D" w:rsidRPr="002F555F" w:rsidRDefault="0012569D" w:rsidP="0012569D">
            <w:pPr>
              <w:rPr>
                <w:b/>
              </w:rPr>
            </w:pPr>
            <w:r w:rsidRPr="002F555F">
              <w:rPr>
                <w:b/>
              </w:rPr>
              <w:t xml:space="preserve">Culture </w:t>
            </w:r>
          </w:p>
          <w:p w14:paraId="3DEEBE7C" w14:textId="77777777" w:rsidR="0012569D" w:rsidRPr="002F555F" w:rsidRDefault="0012569D" w:rsidP="0012569D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 w:rsidRPr="002F555F">
              <w:t>District and schools prioritize and celebrate reflection, feedback, and growth.</w:t>
            </w:r>
          </w:p>
          <w:p w14:paraId="0B0E7F61" w14:textId="77777777" w:rsidR="0012569D" w:rsidRPr="002F555F" w:rsidRDefault="0012569D" w:rsidP="0012569D">
            <w:pPr>
              <w:rPr>
                <w:b/>
              </w:rPr>
            </w:pPr>
          </w:p>
          <w:p w14:paraId="4CD57C0C" w14:textId="77777777" w:rsidR="0012569D" w:rsidRDefault="0012569D" w:rsidP="0012569D">
            <w:pPr>
              <w:rPr>
                <w:b/>
              </w:rPr>
            </w:pPr>
          </w:p>
          <w:p w14:paraId="46396808" w14:textId="77777777" w:rsidR="0012569D" w:rsidRPr="002F555F" w:rsidRDefault="0012569D" w:rsidP="0012569D">
            <w:pPr>
              <w:rPr>
                <w:b/>
              </w:rPr>
            </w:pPr>
            <w:r w:rsidRPr="002F555F">
              <w:rPr>
                <w:b/>
              </w:rPr>
              <w:t>Professional Development (PD) Design</w:t>
            </w:r>
          </w:p>
          <w:p w14:paraId="2358D2CD" w14:textId="77777777" w:rsidR="0012569D" w:rsidRPr="002F555F" w:rsidRDefault="0012569D" w:rsidP="0012569D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 w:rsidRPr="002F555F">
              <w:t xml:space="preserve">District and school PD and initiatives directly support multiple rubric indicators. </w:t>
            </w:r>
          </w:p>
          <w:p w14:paraId="219BB86C" w14:textId="77777777" w:rsidR="0012569D" w:rsidRDefault="0012569D" w:rsidP="0012569D">
            <w:pPr>
              <w:rPr>
                <w:b/>
              </w:rPr>
            </w:pPr>
          </w:p>
          <w:p w14:paraId="59475372" w14:textId="77777777" w:rsidR="0012569D" w:rsidRPr="002F555F" w:rsidRDefault="0012569D" w:rsidP="0012569D">
            <w:pPr>
              <w:rPr>
                <w:b/>
              </w:rPr>
            </w:pPr>
          </w:p>
          <w:p w14:paraId="6DFED8AE" w14:textId="77777777" w:rsidR="0012569D" w:rsidRPr="002F555F" w:rsidRDefault="0012569D" w:rsidP="0012569D">
            <w:pPr>
              <w:rPr>
                <w:b/>
              </w:rPr>
            </w:pPr>
            <w:r w:rsidRPr="002F555F">
              <w:rPr>
                <w:b/>
              </w:rPr>
              <w:t>Communication</w:t>
            </w:r>
          </w:p>
          <w:p w14:paraId="64CB760F" w14:textId="77777777" w:rsidR="0012569D" w:rsidRPr="002F555F" w:rsidRDefault="0012569D" w:rsidP="0012569D">
            <w:pPr>
              <w:pStyle w:val="ListParagraph"/>
              <w:numPr>
                <w:ilvl w:val="0"/>
                <w:numId w:val="11"/>
              </w:numPr>
            </w:pPr>
            <w:r w:rsidRPr="002F555F">
              <w:t xml:space="preserve">District and leaders support stakeholders to understand the “why” and “how” behind using SCTS to support teachers. </w:t>
            </w:r>
          </w:p>
          <w:p w14:paraId="6C7CF82F" w14:textId="77777777" w:rsidR="0012569D" w:rsidRPr="002F555F" w:rsidRDefault="0012569D" w:rsidP="0012569D">
            <w:pPr>
              <w:pStyle w:val="ListParagraph"/>
              <w:numPr>
                <w:ilvl w:val="0"/>
                <w:numId w:val="11"/>
              </w:numPr>
              <w:rPr>
                <w:b/>
              </w:rPr>
            </w:pPr>
            <w:r w:rsidRPr="002F555F">
              <w:t xml:space="preserve">District and school instructional leadership teams communicate support needs to SCDE during </w:t>
            </w:r>
            <w:proofErr w:type="gramStart"/>
            <w:r w:rsidRPr="002F555F">
              <w:t>implementation .</w:t>
            </w:r>
            <w:proofErr w:type="gramEnd"/>
            <w:r w:rsidRPr="002F555F">
              <w:t xml:space="preserve"> </w:t>
            </w:r>
          </w:p>
        </w:tc>
        <w:tc>
          <w:tcPr>
            <w:tcW w:w="1666" w:type="pct"/>
          </w:tcPr>
          <w:p w14:paraId="114A2202" w14:textId="77777777" w:rsidR="0012569D" w:rsidRPr="002F555F" w:rsidRDefault="0012569D" w:rsidP="0012569D">
            <w:pPr>
              <w:rPr>
                <w:b/>
              </w:rPr>
            </w:pPr>
            <w:r w:rsidRPr="002F555F">
              <w:rPr>
                <w:b/>
              </w:rPr>
              <w:t xml:space="preserve">Culture </w:t>
            </w:r>
          </w:p>
          <w:p w14:paraId="64074ED0" w14:textId="77777777" w:rsidR="0012569D" w:rsidRPr="002F555F" w:rsidRDefault="0012569D" w:rsidP="0012569D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 w:rsidRPr="002F555F">
              <w:t xml:space="preserve">District and schools can point to examples of how the professional culture of feedback and reflection positively impacts student and teacher performance. </w:t>
            </w:r>
          </w:p>
          <w:p w14:paraId="3504B127" w14:textId="77777777" w:rsidR="0012569D" w:rsidRDefault="0012569D" w:rsidP="0012569D">
            <w:pPr>
              <w:rPr>
                <w:b/>
              </w:rPr>
            </w:pPr>
          </w:p>
          <w:p w14:paraId="07676239" w14:textId="77777777" w:rsidR="0012569D" w:rsidRPr="002F555F" w:rsidRDefault="0012569D" w:rsidP="0012569D">
            <w:pPr>
              <w:rPr>
                <w:b/>
              </w:rPr>
            </w:pPr>
            <w:r w:rsidRPr="002F555F">
              <w:rPr>
                <w:b/>
              </w:rPr>
              <w:t>Professional Development (PD)  Design</w:t>
            </w:r>
          </w:p>
          <w:p w14:paraId="242FE453" w14:textId="77777777" w:rsidR="0012569D" w:rsidRPr="002F555F" w:rsidRDefault="0012569D" w:rsidP="0012569D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 w:rsidRPr="002F555F">
              <w:t xml:space="preserve">SCTS are embedded in district and school PD as the central focus for reflection on teacher professional practice. </w:t>
            </w:r>
          </w:p>
          <w:p w14:paraId="100CE203" w14:textId="77777777" w:rsidR="0012569D" w:rsidRDefault="0012569D" w:rsidP="0012569D">
            <w:pPr>
              <w:rPr>
                <w:b/>
              </w:rPr>
            </w:pPr>
          </w:p>
          <w:p w14:paraId="5C56FFCB" w14:textId="77777777" w:rsidR="0012569D" w:rsidRPr="002F555F" w:rsidRDefault="0012569D" w:rsidP="0012569D">
            <w:pPr>
              <w:rPr>
                <w:b/>
              </w:rPr>
            </w:pPr>
            <w:r w:rsidRPr="002F555F">
              <w:rPr>
                <w:b/>
              </w:rPr>
              <w:t>Communication</w:t>
            </w:r>
          </w:p>
          <w:p w14:paraId="109FFF11" w14:textId="77777777" w:rsidR="0012569D" w:rsidRPr="002F555F" w:rsidRDefault="0012569D" w:rsidP="0012569D">
            <w:pPr>
              <w:pStyle w:val="ListParagraph"/>
              <w:numPr>
                <w:ilvl w:val="0"/>
                <w:numId w:val="11"/>
              </w:numPr>
            </w:pPr>
            <w:r w:rsidRPr="002F555F">
              <w:t>All key stakeholders know and can articulate the “why” and the “how</w:t>
            </w:r>
            <w:r w:rsidRPr="002F555F">
              <w:rPr>
                <w:b/>
              </w:rPr>
              <w:t xml:space="preserve">” </w:t>
            </w:r>
            <w:r w:rsidRPr="002F555F">
              <w:t xml:space="preserve">behind using SCTS to support teachers. </w:t>
            </w:r>
          </w:p>
          <w:p w14:paraId="6508ED5D" w14:textId="77777777" w:rsidR="0012569D" w:rsidRPr="002F555F" w:rsidRDefault="0012569D" w:rsidP="0012569D">
            <w:pPr>
              <w:pStyle w:val="ListParagraph"/>
              <w:numPr>
                <w:ilvl w:val="0"/>
                <w:numId w:val="11"/>
              </w:numPr>
            </w:pPr>
            <w:r w:rsidRPr="002F555F">
              <w:t xml:space="preserve">District and school teams publicize and spread best practices for observation, coaching, and reflection. </w:t>
            </w:r>
          </w:p>
        </w:tc>
      </w:tr>
      <w:tr w:rsidR="0012569D" w:rsidRPr="002F555F" w14:paraId="3BB1EDDC" w14:textId="77777777" w:rsidTr="0012569D">
        <w:tc>
          <w:tcPr>
            <w:tcW w:w="5000" w:type="pct"/>
            <w:gridSpan w:val="3"/>
            <w:shd w:val="clear" w:color="auto" w:fill="D9D9D9" w:themeFill="background1" w:themeFillShade="D9"/>
          </w:tcPr>
          <w:p w14:paraId="3011F35C" w14:textId="77777777" w:rsidR="0012569D" w:rsidRPr="001F28F9" w:rsidRDefault="0012569D" w:rsidP="0012569D">
            <w:pPr>
              <w:pStyle w:val="Heading3"/>
            </w:pPr>
            <w:r w:rsidRPr="001F28F9">
              <w:t>Evaluator Support</w:t>
            </w:r>
          </w:p>
        </w:tc>
      </w:tr>
      <w:tr w:rsidR="0012569D" w:rsidRPr="002F555F" w14:paraId="5CC8D6A5" w14:textId="77777777" w:rsidTr="0012569D">
        <w:trPr>
          <w:trHeight w:val="350"/>
        </w:trPr>
        <w:tc>
          <w:tcPr>
            <w:tcW w:w="1667" w:type="pct"/>
          </w:tcPr>
          <w:p w14:paraId="33FED7CE" w14:textId="77777777" w:rsidR="0012569D" w:rsidRPr="002F555F" w:rsidRDefault="0012569D" w:rsidP="0012569D">
            <w:pPr>
              <w:rPr>
                <w:b/>
              </w:rPr>
            </w:pPr>
            <w:r w:rsidRPr="002F555F">
              <w:rPr>
                <w:b/>
              </w:rPr>
              <w:t xml:space="preserve">Building coaching skills </w:t>
            </w:r>
          </w:p>
          <w:p w14:paraId="52A9CD3B" w14:textId="77777777" w:rsidR="0012569D" w:rsidRPr="002F555F" w:rsidRDefault="0012569D" w:rsidP="0012569D">
            <w:pPr>
              <w:pStyle w:val="ListParagraph"/>
              <w:numPr>
                <w:ilvl w:val="0"/>
                <w:numId w:val="21"/>
              </w:numPr>
              <w:rPr>
                <w:b/>
              </w:rPr>
            </w:pPr>
            <w:r w:rsidRPr="002F555F">
              <w:t xml:space="preserve">Evaluators and coaches practice observation, scripting, and pre- and post-conferences.  </w:t>
            </w:r>
          </w:p>
          <w:p w14:paraId="573330A4" w14:textId="77777777" w:rsidR="0012569D" w:rsidRPr="002F555F" w:rsidRDefault="0012569D" w:rsidP="0012569D">
            <w:pPr>
              <w:pStyle w:val="ListParagraph"/>
              <w:numPr>
                <w:ilvl w:val="0"/>
                <w:numId w:val="21"/>
              </w:numPr>
              <w:rPr>
                <w:b/>
              </w:rPr>
            </w:pPr>
            <w:r w:rsidRPr="002F555F">
              <w:t>Evaluators and teachers match evidence from lessons to indicators on the rubric</w:t>
            </w:r>
          </w:p>
          <w:p w14:paraId="17F0882C" w14:textId="77777777" w:rsidR="0012569D" w:rsidRDefault="0012569D" w:rsidP="0012569D">
            <w:pPr>
              <w:rPr>
                <w:b/>
              </w:rPr>
            </w:pPr>
          </w:p>
          <w:p w14:paraId="61DDE61B" w14:textId="77777777" w:rsidR="0012569D" w:rsidRPr="002F555F" w:rsidRDefault="0012569D" w:rsidP="0012569D">
            <w:pPr>
              <w:rPr>
                <w:b/>
              </w:rPr>
            </w:pPr>
            <w:r w:rsidRPr="002F555F">
              <w:rPr>
                <w:b/>
              </w:rPr>
              <w:t>Inter-rater reliability (IRR)</w:t>
            </w:r>
          </w:p>
          <w:p w14:paraId="093A85EC" w14:textId="682997CB" w:rsidR="0012569D" w:rsidRDefault="0012569D" w:rsidP="0012569D">
            <w:pPr>
              <w:pStyle w:val="ListParagraph"/>
              <w:numPr>
                <w:ilvl w:val="0"/>
                <w:numId w:val="34"/>
              </w:numPr>
            </w:pPr>
            <w:r w:rsidRPr="002F555F">
              <w:t>School teams practice co</w:t>
            </w:r>
            <w:r>
              <w:t>nference and observation cycle.</w:t>
            </w:r>
          </w:p>
          <w:p w14:paraId="364DB6DC" w14:textId="7D5AAC6A" w:rsidR="0012569D" w:rsidRPr="002F555F" w:rsidRDefault="0012569D" w:rsidP="0012569D"/>
        </w:tc>
        <w:tc>
          <w:tcPr>
            <w:tcW w:w="1667" w:type="pct"/>
          </w:tcPr>
          <w:p w14:paraId="5E6CD635" w14:textId="77777777" w:rsidR="0012569D" w:rsidRPr="002F555F" w:rsidRDefault="0012569D" w:rsidP="0012569D">
            <w:pPr>
              <w:rPr>
                <w:b/>
              </w:rPr>
            </w:pPr>
            <w:r w:rsidRPr="002F555F">
              <w:rPr>
                <w:b/>
              </w:rPr>
              <w:t xml:space="preserve">Building coaching skills </w:t>
            </w:r>
          </w:p>
          <w:p w14:paraId="1062A99D" w14:textId="77777777" w:rsidR="0012569D" w:rsidRPr="002F555F" w:rsidRDefault="0012569D" w:rsidP="0012569D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 w:rsidRPr="002F555F">
              <w:t xml:space="preserve">All teachers receive rubric-aligned feedback with areas of reinforcement and refinement.  </w:t>
            </w:r>
          </w:p>
          <w:p w14:paraId="01A4B989" w14:textId="3C74A4A3" w:rsidR="0012569D" w:rsidRPr="0012569D" w:rsidRDefault="0012569D" w:rsidP="0012569D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 w:rsidRPr="002F555F">
              <w:t>Evaluator teams reflect on best practices for conferencing and strategies for supporting areas of refinement.</w:t>
            </w:r>
          </w:p>
          <w:p w14:paraId="26B06D44" w14:textId="77777777" w:rsidR="0012569D" w:rsidRPr="00A8624C" w:rsidRDefault="0012569D" w:rsidP="0012569D">
            <w:pPr>
              <w:rPr>
                <w:b/>
              </w:rPr>
            </w:pPr>
            <w:r>
              <w:rPr>
                <w:b/>
              </w:rPr>
              <w:t>I</w:t>
            </w:r>
            <w:r w:rsidRPr="00A8624C">
              <w:rPr>
                <w:b/>
              </w:rPr>
              <w:t>nter-rater reliability (IRR)</w:t>
            </w:r>
          </w:p>
          <w:p w14:paraId="595CA111" w14:textId="77777777" w:rsidR="0012569D" w:rsidRPr="002F555F" w:rsidRDefault="0012569D" w:rsidP="0012569D">
            <w:pPr>
              <w:pStyle w:val="ListParagraph"/>
              <w:numPr>
                <w:ilvl w:val="0"/>
                <w:numId w:val="35"/>
              </w:numPr>
            </w:pPr>
            <w:r w:rsidRPr="002F555F">
              <w:t>District and school teams conduct IRR activities as a part of evaluator PD</w:t>
            </w:r>
          </w:p>
          <w:p w14:paraId="68EFED9E" w14:textId="3951DC37" w:rsidR="0012569D" w:rsidRPr="0012569D" w:rsidRDefault="0012569D" w:rsidP="0012569D">
            <w:pPr>
              <w:rPr>
                <w:b/>
              </w:rPr>
            </w:pPr>
          </w:p>
        </w:tc>
        <w:tc>
          <w:tcPr>
            <w:tcW w:w="1666" w:type="pct"/>
          </w:tcPr>
          <w:p w14:paraId="577BAE9F" w14:textId="77777777" w:rsidR="0012569D" w:rsidRPr="002F555F" w:rsidRDefault="0012569D" w:rsidP="0012569D">
            <w:pPr>
              <w:rPr>
                <w:b/>
              </w:rPr>
            </w:pPr>
            <w:r w:rsidRPr="002F555F">
              <w:rPr>
                <w:b/>
              </w:rPr>
              <w:t xml:space="preserve">Building coaching skills </w:t>
            </w:r>
          </w:p>
          <w:p w14:paraId="3EE6FD00" w14:textId="77777777" w:rsidR="0012569D" w:rsidRPr="002F555F" w:rsidRDefault="0012569D" w:rsidP="0012569D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 w:rsidRPr="002F555F">
              <w:t xml:space="preserve">All teachers receive timely, specific, rubric-aligned feedback with areas of reinforcement and refinement. </w:t>
            </w:r>
          </w:p>
          <w:p w14:paraId="76CDB6F6" w14:textId="78658878" w:rsidR="0012569D" w:rsidRPr="0012569D" w:rsidRDefault="0012569D" w:rsidP="0012569D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 w:rsidRPr="002F555F">
              <w:t>Evaluator teams analyze teacher needs to systematically plan support.</w:t>
            </w:r>
          </w:p>
          <w:p w14:paraId="276E5D11" w14:textId="77777777" w:rsidR="0012569D" w:rsidRDefault="0012569D" w:rsidP="0012569D">
            <w:pPr>
              <w:rPr>
                <w:b/>
              </w:rPr>
            </w:pPr>
          </w:p>
          <w:p w14:paraId="084A2BBA" w14:textId="6F485A19" w:rsidR="0012569D" w:rsidRPr="002F555F" w:rsidRDefault="0012569D" w:rsidP="0012569D">
            <w:pPr>
              <w:rPr>
                <w:b/>
              </w:rPr>
            </w:pPr>
            <w:r>
              <w:rPr>
                <w:b/>
              </w:rPr>
              <w:t>I</w:t>
            </w:r>
            <w:r w:rsidRPr="002F555F">
              <w:rPr>
                <w:b/>
              </w:rPr>
              <w:t>nter-rater reliability (IRR)</w:t>
            </w:r>
          </w:p>
          <w:p w14:paraId="54585BDC" w14:textId="46569E8E" w:rsidR="0012569D" w:rsidRPr="0012569D" w:rsidRDefault="0012569D" w:rsidP="0012569D">
            <w:pPr>
              <w:pStyle w:val="ListParagraph"/>
              <w:numPr>
                <w:ilvl w:val="0"/>
                <w:numId w:val="36"/>
              </w:numPr>
            </w:pPr>
            <w:r w:rsidRPr="002F555F">
              <w:t xml:space="preserve">District revises evaluator PD based on learning from year one, supports new evaluators, and conducts IRR activities. </w:t>
            </w:r>
          </w:p>
        </w:tc>
      </w:tr>
      <w:tr w:rsidR="0012569D" w:rsidRPr="002F555F" w14:paraId="75D0B014" w14:textId="77777777" w:rsidTr="0012569D">
        <w:tc>
          <w:tcPr>
            <w:tcW w:w="1667" w:type="pct"/>
            <w:shd w:val="clear" w:color="auto" w:fill="D9D9D9" w:themeFill="background1" w:themeFillShade="D9"/>
          </w:tcPr>
          <w:p w14:paraId="1FDF5BF9" w14:textId="77777777" w:rsidR="0012569D" w:rsidRPr="002F555F" w:rsidRDefault="0012569D" w:rsidP="0012569D">
            <w:pPr>
              <w:pStyle w:val="Heading2"/>
            </w:pPr>
            <w:r w:rsidRPr="002F555F">
              <w:lastRenderedPageBreak/>
              <w:t xml:space="preserve">2017–2018 Transition 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56D825BD" w14:textId="77777777" w:rsidR="0012569D" w:rsidRPr="002F555F" w:rsidRDefault="0012569D" w:rsidP="0012569D">
            <w:pPr>
              <w:pStyle w:val="Heading2"/>
            </w:pPr>
            <w:r w:rsidRPr="002F555F">
              <w:t xml:space="preserve">2018–19 Implementation Year 1 </w:t>
            </w:r>
          </w:p>
        </w:tc>
        <w:tc>
          <w:tcPr>
            <w:tcW w:w="1666" w:type="pct"/>
            <w:shd w:val="clear" w:color="auto" w:fill="D9D9D9" w:themeFill="background1" w:themeFillShade="D9"/>
          </w:tcPr>
          <w:p w14:paraId="3D2CAC09" w14:textId="77777777" w:rsidR="0012569D" w:rsidRPr="002F555F" w:rsidRDefault="0012569D" w:rsidP="0012569D">
            <w:pPr>
              <w:pStyle w:val="Heading2"/>
            </w:pPr>
            <w:r w:rsidRPr="002F555F">
              <w:t xml:space="preserve">2019–20 Implementation Year 2 </w:t>
            </w:r>
          </w:p>
        </w:tc>
      </w:tr>
      <w:tr w:rsidR="0012569D" w:rsidRPr="002F555F" w14:paraId="1C18E23F" w14:textId="77777777" w:rsidTr="0012569D">
        <w:tc>
          <w:tcPr>
            <w:tcW w:w="1667" w:type="pct"/>
            <w:shd w:val="clear" w:color="auto" w:fill="auto"/>
          </w:tcPr>
          <w:p w14:paraId="61FFF529" w14:textId="77777777" w:rsidR="0012569D" w:rsidRPr="001F28F9" w:rsidRDefault="0012569D" w:rsidP="0012569D">
            <w:r w:rsidRPr="002F555F">
              <w:rPr>
                <w:b/>
              </w:rPr>
              <w:t xml:space="preserve">Districts create opportunities for schools and evaluators to </w:t>
            </w:r>
            <w:r w:rsidRPr="002F555F">
              <w:rPr>
                <w:b/>
                <w:u w:val="single"/>
              </w:rPr>
              <w:t>practice using SCTS</w:t>
            </w:r>
            <w:r w:rsidRPr="002F555F">
              <w:rPr>
                <w:b/>
              </w:rPr>
              <w:t xml:space="preserve">.  </w:t>
            </w:r>
          </w:p>
        </w:tc>
        <w:tc>
          <w:tcPr>
            <w:tcW w:w="1667" w:type="pct"/>
            <w:shd w:val="clear" w:color="auto" w:fill="auto"/>
          </w:tcPr>
          <w:p w14:paraId="336D1683" w14:textId="77777777" w:rsidR="0012569D" w:rsidRPr="001F28F9" w:rsidRDefault="0012569D" w:rsidP="0012569D">
            <w:r w:rsidRPr="002F555F">
              <w:rPr>
                <w:b/>
                <w:u w:val="single"/>
              </w:rPr>
              <w:t xml:space="preserve">SC </w:t>
            </w:r>
            <w:r>
              <w:rPr>
                <w:b/>
                <w:u w:val="single"/>
              </w:rPr>
              <w:t>classroom-based t</w:t>
            </w:r>
            <w:r w:rsidRPr="002F555F">
              <w:rPr>
                <w:b/>
                <w:u w:val="single"/>
              </w:rPr>
              <w:t>eachers at every contract level are supported with SCTS.</w:t>
            </w:r>
          </w:p>
        </w:tc>
        <w:tc>
          <w:tcPr>
            <w:tcW w:w="1666" w:type="pct"/>
            <w:shd w:val="clear" w:color="auto" w:fill="auto"/>
          </w:tcPr>
          <w:p w14:paraId="7B0579A6" w14:textId="77777777" w:rsidR="0012569D" w:rsidRPr="001F28F9" w:rsidRDefault="0012569D" w:rsidP="0012569D">
            <w:r w:rsidRPr="002F555F">
              <w:rPr>
                <w:b/>
                <w:u w:val="single"/>
              </w:rPr>
              <w:t xml:space="preserve">SC </w:t>
            </w:r>
            <w:r>
              <w:rPr>
                <w:b/>
                <w:u w:val="single"/>
              </w:rPr>
              <w:t>classroom-based t</w:t>
            </w:r>
            <w:r w:rsidRPr="002F555F">
              <w:rPr>
                <w:b/>
                <w:u w:val="single"/>
              </w:rPr>
              <w:t xml:space="preserve">eachers at every contract level are supported with SCTS. </w:t>
            </w:r>
          </w:p>
        </w:tc>
      </w:tr>
      <w:tr w:rsidR="0012569D" w:rsidRPr="002F555F" w14:paraId="7D6949EC" w14:textId="77777777" w:rsidTr="0012569D">
        <w:tc>
          <w:tcPr>
            <w:tcW w:w="5000" w:type="pct"/>
            <w:gridSpan w:val="3"/>
            <w:shd w:val="clear" w:color="auto" w:fill="D9D9D9" w:themeFill="background1" w:themeFillShade="D9"/>
          </w:tcPr>
          <w:p w14:paraId="45BCF755" w14:textId="7823C73A" w:rsidR="0012569D" w:rsidRPr="001F28F9" w:rsidRDefault="0012569D" w:rsidP="0012569D">
            <w:pPr>
              <w:pStyle w:val="Heading3"/>
            </w:pPr>
            <w:r w:rsidRPr="001F28F9">
              <w:t>Evaluator Support</w:t>
            </w:r>
            <w:r>
              <w:t xml:space="preserve"> (Continued) </w:t>
            </w:r>
          </w:p>
        </w:tc>
      </w:tr>
      <w:tr w:rsidR="0012569D" w:rsidRPr="002F555F" w14:paraId="41B61A04" w14:textId="77777777" w:rsidTr="0012569D">
        <w:tc>
          <w:tcPr>
            <w:tcW w:w="1667" w:type="pct"/>
            <w:shd w:val="clear" w:color="auto" w:fill="auto"/>
          </w:tcPr>
          <w:p w14:paraId="1A9561A3" w14:textId="77777777" w:rsidR="0012569D" w:rsidRPr="002F555F" w:rsidRDefault="0012569D" w:rsidP="0012569D">
            <w:pPr>
              <w:rPr>
                <w:b/>
              </w:rPr>
            </w:pPr>
            <w:r w:rsidRPr="002F555F">
              <w:rPr>
                <w:b/>
              </w:rPr>
              <w:t>Evaluator certification</w:t>
            </w:r>
          </w:p>
          <w:p w14:paraId="16F7320B" w14:textId="6FCF58E5" w:rsidR="0012569D" w:rsidRPr="001F28F9" w:rsidRDefault="0012569D" w:rsidP="0012569D">
            <w:pPr>
              <w:pStyle w:val="ListParagraph"/>
              <w:numPr>
                <w:ilvl w:val="0"/>
                <w:numId w:val="36"/>
              </w:numPr>
            </w:pPr>
            <w:r w:rsidRPr="002F555F">
              <w:t>Everyone conducting evaluations or training others on SCTS is evaluator certified.</w:t>
            </w:r>
          </w:p>
        </w:tc>
        <w:tc>
          <w:tcPr>
            <w:tcW w:w="1667" w:type="pct"/>
            <w:shd w:val="clear" w:color="auto" w:fill="auto"/>
          </w:tcPr>
          <w:p w14:paraId="1479EAB9" w14:textId="77777777" w:rsidR="0012569D" w:rsidRPr="002F555F" w:rsidRDefault="0012569D" w:rsidP="0012569D">
            <w:pPr>
              <w:rPr>
                <w:b/>
              </w:rPr>
            </w:pPr>
            <w:r w:rsidRPr="002F555F">
              <w:rPr>
                <w:b/>
              </w:rPr>
              <w:t>Evaluator certification</w:t>
            </w:r>
          </w:p>
          <w:p w14:paraId="2447899E" w14:textId="242E6C49" w:rsidR="0012569D" w:rsidRPr="001F28F9" w:rsidRDefault="0012569D" w:rsidP="0012569D">
            <w:pPr>
              <w:pStyle w:val="ListParagraph"/>
              <w:numPr>
                <w:ilvl w:val="0"/>
                <w:numId w:val="36"/>
              </w:numPr>
            </w:pPr>
            <w:r w:rsidRPr="002F555F">
              <w:t>Everyone conducting evaluations or training others on SCTS is evaluator certified.</w:t>
            </w:r>
          </w:p>
        </w:tc>
        <w:tc>
          <w:tcPr>
            <w:tcW w:w="1666" w:type="pct"/>
            <w:shd w:val="clear" w:color="auto" w:fill="auto"/>
          </w:tcPr>
          <w:p w14:paraId="7FFE5DA9" w14:textId="77777777" w:rsidR="0012569D" w:rsidRPr="002F555F" w:rsidRDefault="0012569D" w:rsidP="0012569D">
            <w:pPr>
              <w:rPr>
                <w:b/>
              </w:rPr>
            </w:pPr>
            <w:r w:rsidRPr="002F555F">
              <w:rPr>
                <w:b/>
              </w:rPr>
              <w:t>Evaluator certification</w:t>
            </w:r>
          </w:p>
          <w:p w14:paraId="167FD90A" w14:textId="5C5C0C56" w:rsidR="0012569D" w:rsidRPr="001F28F9" w:rsidRDefault="0012569D" w:rsidP="0012569D">
            <w:pPr>
              <w:pStyle w:val="ListParagraph"/>
              <w:numPr>
                <w:ilvl w:val="0"/>
                <w:numId w:val="36"/>
              </w:numPr>
            </w:pPr>
            <w:r w:rsidRPr="002F555F">
              <w:t>Everyone conducting evaluations or training others</w:t>
            </w:r>
            <w:r>
              <w:t xml:space="preserve"> on SCTS is evaluator certified.</w:t>
            </w:r>
          </w:p>
        </w:tc>
      </w:tr>
      <w:tr w:rsidR="0012569D" w:rsidRPr="002F555F" w14:paraId="4BB85B3A" w14:textId="77777777" w:rsidTr="0012569D">
        <w:tc>
          <w:tcPr>
            <w:tcW w:w="5000" w:type="pct"/>
            <w:gridSpan w:val="3"/>
            <w:shd w:val="clear" w:color="auto" w:fill="D9D9D9" w:themeFill="background1" w:themeFillShade="D9"/>
          </w:tcPr>
          <w:p w14:paraId="01AC57FE" w14:textId="77777777" w:rsidR="0012569D" w:rsidRPr="001F28F9" w:rsidRDefault="0012569D" w:rsidP="0012569D">
            <w:pPr>
              <w:pStyle w:val="Heading3"/>
            </w:pPr>
            <w:r w:rsidRPr="001F28F9">
              <w:t>Teacher Support</w:t>
            </w:r>
          </w:p>
        </w:tc>
      </w:tr>
      <w:tr w:rsidR="0012569D" w:rsidRPr="002F555F" w14:paraId="24059641" w14:textId="77777777" w:rsidTr="0012569D">
        <w:tc>
          <w:tcPr>
            <w:tcW w:w="1667" w:type="pct"/>
          </w:tcPr>
          <w:p w14:paraId="7A90A380" w14:textId="77777777" w:rsidR="0012569D" w:rsidRPr="002F555F" w:rsidRDefault="0012569D" w:rsidP="0012569D">
            <w:r w:rsidRPr="002F555F">
              <w:rPr>
                <w:b/>
              </w:rPr>
              <w:t xml:space="preserve">Expanded ADEPT process </w:t>
            </w:r>
          </w:p>
          <w:p w14:paraId="19DD57C5" w14:textId="77777777" w:rsidR="0012569D" w:rsidRPr="002F555F" w:rsidRDefault="0012569D" w:rsidP="0012569D">
            <w:pPr>
              <w:pStyle w:val="ListParagraph"/>
              <w:numPr>
                <w:ilvl w:val="0"/>
                <w:numId w:val="9"/>
              </w:numPr>
            </w:pPr>
            <w:r w:rsidRPr="002F555F">
              <w:t xml:space="preserve">District is aware of evaluation system guidelines and has a plan in place to prepare teachers for SCTS-based observations and process. </w:t>
            </w:r>
          </w:p>
          <w:p w14:paraId="5B7CD431" w14:textId="77777777" w:rsidR="0012569D" w:rsidRPr="002F555F" w:rsidRDefault="0012569D" w:rsidP="0012569D">
            <w:pPr>
              <w:pStyle w:val="ListParagraph"/>
              <w:ind w:left="360"/>
            </w:pPr>
          </w:p>
          <w:p w14:paraId="5EE53B68" w14:textId="77777777" w:rsidR="0012569D" w:rsidRPr="002F555F" w:rsidRDefault="0012569D" w:rsidP="0012569D">
            <w:r w:rsidRPr="002F555F">
              <w:rPr>
                <w:b/>
              </w:rPr>
              <w:t>Coaching structures</w:t>
            </w:r>
          </w:p>
          <w:p w14:paraId="1B24FC4B" w14:textId="77777777" w:rsidR="0012569D" w:rsidRPr="002F555F" w:rsidRDefault="0012569D" w:rsidP="0012569D">
            <w:pPr>
              <w:pStyle w:val="ListParagraph"/>
              <w:numPr>
                <w:ilvl w:val="0"/>
                <w:numId w:val="9"/>
              </w:numPr>
            </w:pPr>
            <w:r w:rsidRPr="002F555F">
              <w:t xml:space="preserve">Using SC business rules, district makes decisions about observation frequency and who will serve on evaluation and coaching teams. </w:t>
            </w:r>
          </w:p>
          <w:p w14:paraId="74EF9838" w14:textId="77777777" w:rsidR="0012569D" w:rsidRPr="002F555F" w:rsidRDefault="0012569D" w:rsidP="0012569D">
            <w:pPr>
              <w:pStyle w:val="ListParagraph"/>
              <w:numPr>
                <w:ilvl w:val="0"/>
                <w:numId w:val="9"/>
              </w:numPr>
            </w:pPr>
            <w:r w:rsidRPr="002F555F">
              <w:t xml:space="preserve">District is aware of SCDE’s rubric-aligned, on-demand professional development resources for training, implementation, and refinement. </w:t>
            </w:r>
          </w:p>
          <w:p w14:paraId="26AF876B" w14:textId="77777777" w:rsidR="0012569D" w:rsidRPr="002F555F" w:rsidRDefault="0012569D" w:rsidP="0012569D">
            <w:pPr>
              <w:rPr>
                <w:b/>
              </w:rPr>
            </w:pPr>
          </w:p>
          <w:p w14:paraId="36EADD14" w14:textId="77777777" w:rsidR="0012569D" w:rsidRPr="002F555F" w:rsidRDefault="0012569D" w:rsidP="0012569D">
            <w:pPr>
              <w:rPr>
                <w:b/>
              </w:rPr>
            </w:pPr>
            <w:r w:rsidRPr="002F555F">
              <w:rPr>
                <w:b/>
              </w:rPr>
              <w:t xml:space="preserve">Reflection on SCTS </w:t>
            </w:r>
          </w:p>
          <w:p w14:paraId="6B300D7F" w14:textId="77777777" w:rsidR="0012569D" w:rsidRPr="002F555F" w:rsidRDefault="0012569D" w:rsidP="0012569D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 w:rsidRPr="002F555F">
              <w:t>Induction and Continuing Contract (Informal) teachers practice reflecting and setting goals using SCTS indicators.</w:t>
            </w:r>
          </w:p>
          <w:p w14:paraId="2D82BB0C" w14:textId="77777777" w:rsidR="0012569D" w:rsidRPr="002F555F" w:rsidRDefault="0012569D" w:rsidP="0012569D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 w:rsidRPr="002F555F">
              <w:t xml:space="preserve">School and district teams collaborate to deepen understanding of SCTS indicators. </w:t>
            </w:r>
          </w:p>
          <w:p w14:paraId="0B4E8338" w14:textId="77777777" w:rsidR="0012569D" w:rsidRPr="002F555F" w:rsidRDefault="0012569D" w:rsidP="0012569D">
            <w:pPr>
              <w:rPr>
                <w:b/>
              </w:rPr>
            </w:pPr>
          </w:p>
        </w:tc>
        <w:tc>
          <w:tcPr>
            <w:tcW w:w="1667" w:type="pct"/>
          </w:tcPr>
          <w:p w14:paraId="5E0CB63C" w14:textId="77777777" w:rsidR="0012569D" w:rsidRPr="002F555F" w:rsidRDefault="0012569D" w:rsidP="0012569D">
            <w:r w:rsidRPr="002F555F">
              <w:rPr>
                <w:b/>
              </w:rPr>
              <w:t xml:space="preserve">Expanded ADEPT process </w:t>
            </w:r>
          </w:p>
          <w:p w14:paraId="28B81329" w14:textId="77777777" w:rsidR="0012569D" w:rsidRPr="002F555F" w:rsidRDefault="0012569D" w:rsidP="0012569D">
            <w:pPr>
              <w:pStyle w:val="ListParagraph"/>
              <w:numPr>
                <w:ilvl w:val="0"/>
                <w:numId w:val="24"/>
              </w:numPr>
            </w:pPr>
            <w:r w:rsidRPr="002F555F">
              <w:t xml:space="preserve">District ensures all teachers understand the SCTS-based feedback process, timelines, roles, and responsibilities. </w:t>
            </w:r>
          </w:p>
          <w:p w14:paraId="38C3CCEF" w14:textId="77777777" w:rsidR="0012569D" w:rsidRDefault="0012569D" w:rsidP="0012569D">
            <w:pPr>
              <w:pStyle w:val="ListParagraph"/>
              <w:ind w:left="360"/>
            </w:pPr>
          </w:p>
          <w:p w14:paraId="0699892C" w14:textId="77777777" w:rsidR="0012569D" w:rsidRPr="002F555F" w:rsidRDefault="0012569D" w:rsidP="0012569D">
            <w:pPr>
              <w:pStyle w:val="ListParagraph"/>
              <w:ind w:left="360"/>
            </w:pPr>
          </w:p>
          <w:p w14:paraId="4A99B9C6" w14:textId="77777777" w:rsidR="0012569D" w:rsidRPr="002F555F" w:rsidRDefault="0012569D" w:rsidP="0012569D">
            <w:r w:rsidRPr="002F555F">
              <w:rPr>
                <w:b/>
              </w:rPr>
              <w:t>Coaching structures</w:t>
            </w:r>
          </w:p>
          <w:p w14:paraId="4B3011F5" w14:textId="77777777" w:rsidR="0012569D" w:rsidRDefault="0012569D" w:rsidP="0012569D">
            <w:pPr>
              <w:pStyle w:val="ListParagraph"/>
              <w:numPr>
                <w:ilvl w:val="0"/>
                <w:numId w:val="24"/>
              </w:numPr>
            </w:pPr>
            <w:r w:rsidRPr="002F555F">
              <w:t>Teachers and evaluators give and receive feedback related to the SCTS-based feedback process.</w:t>
            </w:r>
          </w:p>
          <w:p w14:paraId="0678CFAD" w14:textId="0E2DCDF5" w:rsidR="0012569D" w:rsidRPr="002F555F" w:rsidRDefault="0012569D" w:rsidP="0012569D">
            <w:pPr>
              <w:pStyle w:val="ListParagraph"/>
              <w:ind w:left="360"/>
            </w:pPr>
            <w:r w:rsidRPr="002F555F">
              <w:t xml:space="preserve"> </w:t>
            </w:r>
          </w:p>
          <w:p w14:paraId="63C3E528" w14:textId="77777777" w:rsidR="0012569D" w:rsidRPr="002F555F" w:rsidRDefault="0012569D" w:rsidP="0012569D">
            <w:pPr>
              <w:pStyle w:val="ListParagraph"/>
              <w:numPr>
                <w:ilvl w:val="0"/>
                <w:numId w:val="24"/>
              </w:numPr>
              <w:rPr>
                <w:b/>
              </w:rPr>
            </w:pPr>
            <w:r w:rsidRPr="002F555F">
              <w:t xml:space="preserve">District supports teachers’ professional growth through access to SCTS handbook, training, and on- demand PD resources from the SCDE. </w:t>
            </w:r>
          </w:p>
          <w:p w14:paraId="0CFD3206" w14:textId="77777777" w:rsidR="0012569D" w:rsidRPr="002F555F" w:rsidRDefault="0012569D" w:rsidP="0012569D"/>
          <w:p w14:paraId="6874C48D" w14:textId="77777777" w:rsidR="0012569D" w:rsidRPr="002F555F" w:rsidRDefault="0012569D" w:rsidP="0012569D">
            <w:pPr>
              <w:rPr>
                <w:b/>
              </w:rPr>
            </w:pPr>
            <w:r w:rsidRPr="002F555F">
              <w:rPr>
                <w:b/>
              </w:rPr>
              <w:t xml:space="preserve">Reflection on SCTS </w:t>
            </w:r>
          </w:p>
          <w:p w14:paraId="62A55426" w14:textId="77777777" w:rsidR="0012569D" w:rsidRPr="002F555F" w:rsidRDefault="0012569D" w:rsidP="0012569D">
            <w:pPr>
              <w:pStyle w:val="ListParagraph"/>
              <w:numPr>
                <w:ilvl w:val="0"/>
                <w:numId w:val="24"/>
              </w:numPr>
              <w:rPr>
                <w:b/>
              </w:rPr>
            </w:pPr>
            <w:r w:rsidRPr="002F555F">
              <w:t xml:space="preserve">All classroom-based teachers reflect and set goals for refinement based on SCTS standards.  </w:t>
            </w:r>
          </w:p>
          <w:p w14:paraId="7B9A2A77" w14:textId="77777777" w:rsidR="0012569D" w:rsidRPr="002F555F" w:rsidRDefault="0012569D" w:rsidP="0012569D">
            <w:pPr>
              <w:pStyle w:val="ListParagraph"/>
              <w:numPr>
                <w:ilvl w:val="0"/>
                <w:numId w:val="24"/>
              </w:numPr>
              <w:rPr>
                <w:b/>
              </w:rPr>
            </w:pPr>
            <w:r w:rsidRPr="002F555F">
              <w:t>Teachers collaborate with colleagues to apply SCTS indicators to their teaching.</w:t>
            </w:r>
          </w:p>
          <w:p w14:paraId="645C1050" w14:textId="77777777" w:rsidR="0012569D" w:rsidRPr="002F555F" w:rsidRDefault="0012569D" w:rsidP="0012569D">
            <w:pPr>
              <w:rPr>
                <w:b/>
              </w:rPr>
            </w:pPr>
          </w:p>
        </w:tc>
        <w:tc>
          <w:tcPr>
            <w:tcW w:w="1666" w:type="pct"/>
          </w:tcPr>
          <w:p w14:paraId="3AEABB48" w14:textId="77777777" w:rsidR="0012569D" w:rsidRPr="002F555F" w:rsidRDefault="0012569D" w:rsidP="0012569D">
            <w:r w:rsidRPr="002F555F">
              <w:rPr>
                <w:b/>
              </w:rPr>
              <w:t xml:space="preserve">Expanded ADEPT process </w:t>
            </w:r>
          </w:p>
          <w:p w14:paraId="5A1F9A69" w14:textId="77777777" w:rsidR="0012569D" w:rsidRPr="002F555F" w:rsidRDefault="0012569D" w:rsidP="0012569D">
            <w:pPr>
              <w:pStyle w:val="ListParagraph"/>
              <w:numPr>
                <w:ilvl w:val="0"/>
                <w:numId w:val="23"/>
              </w:numPr>
            </w:pPr>
            <w:r w:rsidRPr="002F555F">
              <w:t xml:space="preserve">District revises SCTS-based observation and feedback process and orientation based on lessons learned from previous year. </w:t>
            </w:r>
          </w:p>
          <w:p w14:paraId="0973A582" w14:textId="77777777" w:rsidR="0012569D" w:rsidRPr="002F555F" w:rsidRDefault="0012569D" w:rsidP="0012569D"/>
          <w:p w14:paraId="34A12D44" w14:textId="77777777" w:rsidR="0012569D" w:rsidRPr="002F555F" w:rsidRDefault="0012569D" w:rsidP="0012569D">
            <w:r w:rsidRPr="002F555F">
              <w:rPr>
                <w:b/>
              </w:rPr>
              <w:t>Coaching structures</w:t>
            </w:r>
          </w:p>
          <w:p w14:paraId="265256A8" w14:textId="77777777" w:rsidR="0012569D" w:rsidRPr="002F555F" w:rsidRDefault="0012569D" w:rsidP="0012569D">
            <w:pPr>
              <w:pStyle w:val="ListParagraph"/>
              <w:numPr>
                <w:ilvl w:val="0"/>
                <w:numId w:val="25"/>
              </w:numPr>
            </w:pPr>
            <w:r w:rsidRPr="002F555F">
              <w:t xml:space="preserve">Schools adjust the SCTS-based feedback process, coaching structures, and assignments based on lessons learned from previous year. </w:t>
            </w:r>
          </w:p>
          <w:p w14:paraId="3FD3336A" w14:textId="77777777" w:rsidR="0012569D" w:rsidRPr="002F555F" w:rsidRDefault="0012569D" w:rsidP="0012569D">
            <w:pPr>
              <w:pStyle w:val="ListParagraph"/>
              <w:numPr>
                <w:ilvl w:val="0"/>
                <w:numId w:val="25"/>
              </w:numPr>
              <w:rPr>
                <w:b/>
              </w:rPr>
            </w:pPr>
            <w:r w:rsidRPr="002F555F">
              <w:t xml:space="preserve">District supports school teams and individual teachers to find PD resources aligned to common areas of refinement. </w:t>
            </w:r>
          </w:p>
          <w:p w14:paraId="24682ED2" w14:textId="77777777" w:rsidR="0012569D" w:rsidRDefault="0012569D" w:rsidP="0012569D">
            <w:pPr>
              <w:rPr>
                <w:b/>
              </w:rPr>
            </w:pPr>
          </w:p>
          <w:p w14:paraId="582F738C" w14:textId="77777777" w:rsidR="0012569D" w:rsidRPr="002F555F" w:rsidRDefault="0012569D" w:rsidP="0012569D">
            <w:pPr>
              <w:rPr>
                <w:b/>
              </w:rPr>
            </w:pPr>
          </w:p>
          <w:p w14:paraId="4BD8E270" w14:textId="77777777" w:rsidR="0012569D" w:rsidRPr="002F555F" w:rsidRDefault="0012569D" w:rsidP="0012569D">
            <w:pPr>
              <w:rPr>
                <w:b/>
              </w:rPr>
            </w:pPr>
            <w:r w:rsidRPr="002F555F">
              <w:rPr>
                <w:b/>
              </w:rPr>
              <w:t xml:space="preserve">Reflection on SCTS </w:t>
            </w:r>
          </w:p>
          <w:p w14:paraId="5A73CCB6" w14:textId="77777777" w:rsidR="0012569D" w:rsidRPr="002F555F" w:rsidRDefault="0012569D" w:rsidP="0012569D">
            <w:pPr>
              <w:pStyle w:val="ListParagraph"/>
              <w:numPr>
                <w:ilvl w:val="0"/>
                <w:numId w:val="9"/>
              </w:numPr>
            </w:pPr>
            <w:r w:rsidRPr="002F555F">
              <w:t xml:space="preserve">Teachers’ reflection and goal setting shows deep understanding of the SCTS rubric indicators. </w:t>
            </w:r>
          </w:p>
          <w:p w14:paraId="27813CC8" w14:textId="77777777" w:rsidR="0012569D" w:rsidRPr="002F555F" w:rsidRDefault="0012569D" w:rsidP="0012569D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 w:rsidRPr="002F555F">
              <w:t xml:space="preserve">Teachers collaborate with colleagues to apply student-centered instructional practices aligned with indicators of the SCTS. </w:t>
            </w:r>
          </w:p>
        </w:tc>
      </w:tr>
    </w:tbl>
    <w:p w14:paraId="2D5ED215" w14:textId="77777777" w:rsidR="00274F84" w:rsidRPr="002F555F" w:rsidRDefault="00274F84" w:rsidP="0012569D">
      <w:bookmarkStart w:id="0" w:name="_GoBack"/>
      <w:bookmarkEnd w:id="0"/>
    </w:p>
    <w:sectPr w:rsidR="00274F84" w:rsidRPr="002F555F" w:rsidSect="00FE66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475F2F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D15F34" w14:textId="77777777" w:rsidR="00224376" w:rsidRDefault="00224376" w:rsidP="00FB6221">
      <w:r>
        <w:separator/>
      </w:r>
    </w:p>
  </w:endnote>
  <w:endnote w:type="continuationSeparator" w:id="0">
    <w:p w14:paraId="4BC3E26B" w14:textId="77777777" w:rsidR="00224376" w:rsidRDefault="00224376" w:rsidP="00FB6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BA835" w14:textId="77777777" w:rsidR="00D033EE" w:rsidRDefault="00D033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287A00" w14:textId="77777777" w:rsidR="00D033EE" w:rsidRDefault="00D033E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06F19A" w14:textId="77777777" w:rsidR="00D033EE" w:rsidRDefault="00D033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0D1485" w14:textId="77777777" w:rsidR="00224376" w:rsidRDefault="00224376" w:rsidP="00FB6221">
      <w:r>
        <w:separator/>
      </w:r>
    </w:p>
  </w:footnote>
  <w:footnote w:type="continuationSeparator" w:id="0">
    <w:p w14:paraId="548990AC" w14:textId="77777777" w:rsidR="00224376" w:rsidRDefault="00224376" w:rsidP="00FB62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CB6ABE" w14:textId="77777777" w:rsidR="00D033EE" w:rsidRDefault="00D033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South_Carolina_Teaching"/>
  <w:bookmarkEnd w:id="1"/>
  <w:p w14:paraId="568ADC88" w14:textId="2E2AA80A" w:rsidR="00FE66EE" w:rsidRDefault="00D033EE" w:rsidP="00FB6221">
    <w:pPr>
      <w:pStyle w:val="Heading2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7D63A5" wp14:editId="5F7DB449">
              <wp:simplePos x="0" y="0"/>
              <wp:positionH relativeFrom="column">
                <wp:posOffset>8134350</wp:posOffset>
              </wp:positionH>
              <wp:positionV relativeFrom="paragraph">
                <wp:posOffset>-247650</wp:posOffset>
              </wp:positionV>
              <wp:extent cx="314325" cy="1403985"/>
              <wp:effectExtent l="0" t="0" r="28575" b="2540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32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8F3BD6" w14:textId="7F0977F6" w:rsidR="00D033EE" w:rsidRPr="00D033EE" w:rsidRDefault="00D033EE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D033EE">
                            <w:rPr>
                              <w:b/>
                              <w:sz w:val="28"/>
                              <w:szCs w:val="28"/>
                            </w:rPr>
                            <w:t>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40.5pt;margin-top:-19.5pt;width:24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">
              <v:textbox style="mso-fit-shape-to-text:t">
                <w:txbxContent>
                  <w:p w14:paraId="118F3BD6" w14:textId="7F0977F6" w:rsidR="00D033EE" w:rsidRPr="00D033EE" w:rsidRDefault="00D033EE">
                    <w:pPr>
                      <w:rPr>
                        <w:b/>
                        <w:sz w:val="28"/>
                        <w:szCs w:val="28"/>
                      </w:rPr>
                    </w:pPr>
                    <w:bookmarkStart w:id="2" w:name="_GoBack"/>
                    <w:r w:rsidRPr="00D033EE">
                      <w:rPr>
                        <w:b/>
                        <w:sz w:val="28"/>
                        <w:szCs w:val="28"/>
                      </w:rPr>
                      <w:t>D</w:t>
                    </w:r>
                    <w:bookmarkEnd w:id="2"/>
                  </w:p>
                </w:txbxContent>
              </v:textbox>
            </v:shape>
          </w:pict>
        </mc:Fallback>
      </mc:AlternateContent>
    </w:r>
    <w:r w:rsidR="00FC0FD7">
      <w:t>South Carolina Teaching Standards (SCTS) Phase-in Guide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49BB66" w14:textId="77777777" w:rsidR="00D033EE" w:rsidRDefault="00D033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942AE"/>
    <w:multiLevelType w:val="hybridMultilevel"/>
    <w:tmpl w:val="988254B6"/>
    <w:lvl w:ilvl="0" w:tplc="4D0AC7F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5498C18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9D7AE0E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E40AFA2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46AED17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3D6EF13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4146A4E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EA40455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5F4C51B2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1">
    <w:nsid w:val="091354F8"/>
    <w:multiLevelType w:val="hybridMultilevel"/>
    <w:tmpl w:val="366E8BCE"/>
    <w:lvl w:ilvl="0" w:tplc="98AC742E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C310A4"/>
    <w:multiLevelType w:val="hybridMultilevel"/>
    <w:tmpl w:val="38CC6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D107E5"/>
    <w:multiLevelType w:val="hybridMultilevel"/>
    <w:tmpl w:val="1422D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AB6D36"/>
    <w:multiLevelType w:val="hybridMultilevel"/>
    <w:tmpl w:val="1B0604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73A50F7"/>
    <w:multiLevelType w:val="hybridMultilevel"/>
    <w:tmpl w:val="CA9EC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531384"/>
    <w:multiLevelType w:val="hybridMultilevel"/>
    <w:tmpl w:val="295E5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5F246C"/>
    <w:multiLevelType w:val="hybridMultilevel"/>
    <w:tmpl w:val="9B78E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6D6BBF"/>
    <w:multiLevelType w:val="hybridMultilevel"/>
    <w:tmpl w:val="8F4E44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B8D365D"/>
    <w:multiLevelType w:val="hybridMultilevel"/>
    <w:tmpl w:val="7CD475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EC77BA3"/>
    <w:multiLevelType w:val="hybridMultilevel"/>
    <w:tmpl w:val="E9D63F1C"/>
    <w:lvl w:ilvl="0" w:tplc="98AC742E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EDD2C50"/>
    <w:multiLevelType w:val="hybridMultilevel"/>
    <w:tmpl w:val="18CEFB02"/>
    <w:lvl w:ilvl="0" w:tplc="98AC742E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3DE287B"/>
    <w:multiLevelType w:val="hybridMultilevel"/>
    <w:tmpl w:val="C570D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7B2908"/>
    <w:multiLevelType w:val="hybridMultilevel"/>
    <w:tmpl w:val="9F7E4D1C"/>
    <w:lvl w:ilvl="0" w:tplc="98AC742E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76171BD"/>
    <w:multiLevelType w:val="hybridMultilevel"/>
    <w:tmpl w:val="3BCC9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416A70"/>
    <w:multiLevelType w:val="hybridMultilevel"/>
    <w:tmpl w:val="4D484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C55071"/>
    <w:multiLevelType w:val="hybridMultilevel"/>
    <w:tmpl w:val="8EA036C2"/>
    <w:lvl w:ilvl="0" w:tplc="98AC742E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C92254F"/>
    <w:multiLevelType w:val="hybridMultilevel"/>
    <w:tmpl w:val="F3209C52"/>
    <w:lvl w:ilvl="0" w:tplc="98AC742E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2325C02"/>
    <w:multiLevelType w:val="hybridMultilevel"/>
    <w:tmpl w:val="E5EA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23116C"/>
    <w:multiLevelType w:val="hybridMultilevel"/>
    <w:tmpl w:val="220213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5110BB7"/>
    <w:multiLevelType w:val="hybridMultilevel"/>
    <w:tmpl w:val="3E966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0930B4"/>
    <w:multiLevelType w:val="hybridMultilevel"/>
    <w:tmpl w:val="425AC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8E17AD"/>
    <w:multiLevelType w:val="hybridMultilevel"/>
    <w:tmpl w:val="1E7240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C5C5D93"/>
    <w:multiLevelType w:val="hybridMultilevel"/>
    <w:tmpl w:val="1794F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7516AE"/>
    <w:multiLevelType w:val="hybridMultilevel"/>
    <w:tmpl w:val="8A2422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7E027CB"/>
    <w:multiLevelType w:val="hybridMultilevel"/>
    <w:tmpl w:val="98E27D4E"/>
    <w:lvl w:ilvl="0" w:tplc="98AC742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D14AF1"/>
    <w:multiLevelType w:val="hybridMultilevel"/>
    <w:tmpl w:val="27600E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A7F306A"/>
    <w:multiLevelType w:val="hybridMultilevel"/>
    <w:tmpl w:val="9D60D3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2ED232D"/>
    <w:multiLevelType w:val="hybridMultilevel"/>
    <w:tmpl w:val="560C83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D6E09A3"/>
    <w:multiLevelType w:val="hybridMultilevel"/>
    <w:tmpl w:val="E9F03C0E"/>
    <w:lvl w:ilvl="0" w:tplc="98AC742E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8F673BE"/>
    <w:multiLevelType w:val="hybridMultilevel"/>
    <w:tmpl w:val="0CB013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A3001DF"/>
    <w:multiLevelType w:val="hybridMultilevel"/>
    <w:tmpl w:val="9C226CC6"/>
    <w:lvl w:ilvl="0" w:tplc="98AC742E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E796782"/>
    <w:multiLevelType w:val="hybridMultilevel"/>
    <w:tmpl w:val="C85E6D8A"/>
    <w:lvl w:ilvl="0" w:tplc="98AC742E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EC54C70"/>
    <w:multiLevelType w:val="hybridMultilevel"/>
    <w:tmpl w:val="F9246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521137"/>
    <w:multiLevelType w:val="hybridMultilevel"/>
    <w:tmpl w:val="BF4AF15C"/>
    <w:lvl w:ilvl="0" w:tplc="98AC742E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5D256D9"/>
    <w:multiLevelType w:val="hybridMultilevel"/>
    <w:tmpl w:val="12F215B2"/>
    <w:lvl w:ilvl="0" w:tplc="98AC742E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DCB1838"/>
    <w:multiLevelType w:val="hybridMultilevel"/>
    <w:tmpl w:val="8506C54A"/>
    <w:lvl w:ilvl="0" w:tplc="98AC742E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18"/>
  </w:num>
  <w:num w:numId="4">
    <w:abstractNumId w:val="24"/>
  </w:num>
  <w:num w:numId="5">
    <w:abstractNumId w:val="15"/>
  </w:num>
  <w:num w:numId="6">
    <w:abstractNumId w:val="5"/>
  </w:num>
  <w:num w:numId="7">
    <w:abstractNumId w:val="7"/>
  </w:num>
  <w:num w:numId="8">
    <w:abstractNumId w:val="6"/>
  </w:num>
  <w:num w:numId="9">
    <w:abstractNumId w:val="34"/>
  </w:num>
  <w:num w:numId="10">
    <w:abstractNumId w:val="12"/>
  </w:num>
  <w:num w:numId="11">
    <w:abstractNumId w:val="16"/>
  </w:num>
  <w:num w:numId="12">
    <w:abstractNumId w:val="21"/>
  </w:num>
  <w:num w:numId="13">
    <w:abstractNumId w:val="23"/>
  </w:num>
  <w:num w:numId="14">
    <w:abstractNumId w:val="30"/>
  </w:num>
  <w:num w:numId="15">
    <w:abstractNumId w:val="19"/>
  </w:num>
  <w:num w:numId="16">
    <w:abstractNumId w:val="9"/>
  </w:num>
  <w:num w:numId="17">
    <w:abstractNumId w:val="4"/>
  </w:num>
  <w:num w:numId="18">
    <w:abstractNumId w:val="8"/>
  </w:num>
  <w:num w:numId="19">
    <w:abstractNumId w:val="22"/>
  </w:num>
  <w:num w:numId="20">
    <w:abstractNumId w:val="11"/>
  </w:num>
  <w:num w:numId="21">
    <w:abstractNumId w:val="32"/>
  </w:num>
  <w:num w:numId="22">
    <w:abstractNumId w:val="35"/>
  </w:num>
  <w:num w:numId="23">
    <w:abstractNumId w:val="13"/>
  </w:num>
  <w:num w:numId="24">
    <w:abstractNumId w:val="36"/>
  </w:num>
  <w:num w:numId="25">
    <w:abstractNumId w:val="10"/>
  </w:num>
  <w:num w:numId="26">
    <w:abstractNumId w:val="28"/>
  </w:num>
  <w:num w:numId="27">
    <w:abstractNumId w:val="17"/>
  </w:num>
  <w:num w:numId="28">
    <w:abstractNumId w:val="27"/>
  </w:num>
  <w:num w:numId="29">
    <w:abstractNumId w:val="25"/>
  </w:num>
  <w:num w:numId="30">
    <w:abstractNumId w:val="26"/>
  </w:num>
  <w:num w:numId="31">
    <w:abstractNumId w:val="0"/>
  </w:num>
  <w:num w:numId="32">
    <w:abstractNumId w:val="33"/>
  </w:num>
  <w:num w:numId="33">
    <w:abstractNumId w:val="2"/>
  </w:num>
  <w:num w:numId="34">
    <w:abstractNumId w:val="31"/>
  </w:num>
  <w:num w:numId="35">
    <w:abstractNumId w:val="29"/>
  </w:num>
  <w:num w:numId="36">
    <w:abstractNumId w:val="1"/>
  </w:num>
  <w:num w:numId="37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illa Toal Mandsager">
    <w15:presenceInfo w15:providerId="None" w15:userId="Lilla Toal Mandsag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180"/>
    <w:rsid w:val="00000A57"/>
    <w:rsid w:val="00005AD2"/>
    <w:rsid w:val="00076B14"/>
    <w:rsid w:val="000A1545"/>
    <w:rsid w:val="000B7445"/>
    <w:rsid w:val="00105219"/>
    <w:rsid w:val="0012569D"/>
    <w:rsid w:val="001911A0"/>
    <w:rsid w:val="001D1AEB"/>
    <w:rsid w:val="001F28F9"/>
    <w:rsid w:val="001F5761"/>
    <w:rsid w:val="00224376"/>
    <w:rsid w:val="0023250D"/>
    <w:rsid w:val="00256A9A"/>
    <w:rsid w:val="00265281"/>
    <w:rsid w:val="00274F84"/>
    <w:rsid w:val="002B1769"/>
    <w:rsid w:val="002C2180"/>
    <w:rsid w:val="002C7AF6"/>
    <w:rsid w:val="002F555F"/>
    <w:rsid w:val="002F7B6F"/>
    <w:rsid w:val="00346C59"/>
    <w:rsid w:val="003649BB"/>
    <w:rsid w:val="00385E9D"/>
    <w:rsid w:val="0039447B"/>
    <w:rsid w:val="003B212B"/>
    <w:rsid w:val="0042555E"/>
    <w:rsid w:val="004276A5"/>
    <w:rsid w:val="004415D0"/>
    <w:rsid w:val="00457362"/>
    <w:rsid w:val="00466687"/>
    <w:rsid w:val="004872DA"/>
    <w:rsid w:val="004C07AD"/>
    <w:rsid w:val="005A48E7"/>
    <w:rsid w:val="005B5EB6"/>
    <w:rsid w:val="005B6C22"/>
    <w:rsid w:val="005E11BC"/>
    <w:rsid w:val="00611918"/>
    <w:rsid w:val="00612EAC"/>
    <w:rsid w:val="0062485C"/>
    <w:rsid w:val="006366E6"/>
    <w:rsid w:val="00681727"/>
    <w:rsid w:val="006B636F"/>
    <w:rsid w:val="006D25FF"/>
    <w:rsid w:val="007106AC"/>
    <w:rsid w:val="007B5B18"/>
    <w:rsid w:val="00811055"/>
    <w:rsid w:val="00856853"/>
    <w:rsid w:val="008D2464"/>
    <w:rsid w:val="00942019"/>
    <w:rsid w:val="00945745"/>
    <w:rsid w:val="009946E7"/>
    <w:rsid w:val="00A51A56"/>
    <w:rsid w:val="00AB1F4F"/>
    <w:rsid w:val="00B24454"/>
    <w:rsid w:val="00B4687C"/>
    <w:rsid w:val="00B50403"/>
    <w:rsid w:val="00B7199A"/>
    <w:rsid w:val="00B73833"/>
    <w:rsid w:val="00B77CC2"/>
    <w:rsid w:val="00C3602F"/>
    <w:rsid w:val="00C860E9"/>
    <w:rsid w:val="00C96CED"/>
    <w:rsid w:val="00CA33FE"/>
    <w:rsid w:val="00CB6438"/>
    <w:rsid w:val="00CB699B"/>
    <w:rsid w:val="00CC332C"/>
    <w:rsid w:val="00CD5204"/>
    <w:rsid w:val="00D033EE"/>
    <w:rsid w:val="00D17EAB"/>
    <w:rsid w:val="00D26E18"/>
    <w:rsid w:val="00D63E11"/>
    <w:rsid w:val="00D7688B"/>
    <w:rsid w:val="00DB3DA5"/>
    <w:rsid w:val="00DD7C07"/>
    <w:rsid w:val="00E21F26"/>
    <w:rsid w:val="00E30785"/>
    <w:rsid w:val="00EC518B"/>
    <w:rsid w:val="00EE1B1E"/>
    <w:rsid w:val="00FA78F6"/>
    <w:rsid w:val="00FB3C3F"/>
    <w:rsid w:val="00FB6221"/>
    <w:rsid w:val="00FC0FD7"/>
    <w:rsid w:val="00FE5EE0"/>
    <w:rsid w:val="00FE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CEC58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33FE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6076B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33FE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63891F" w:themeColor="accent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2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218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719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19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19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9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19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19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99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A33FE"/>
    <w:rPr>
      <w:rFonts w:asciiTheme="majorHAnsi" w:eastAsiaTheme="majorEastAsia" w:hAnsiTheme="majorHAnsi" w:cstheme="majorBidi"/>
      <w:b/>
      <w:bCs/>
      <w:color w:val="6076B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A33FE"/>
    <w:rPr>
      <w:rFonts w:asciiTheme="majorHAnsi" w:eastAsiaTheme="majorEastAsia" w:hAnsiTheme="majorHAnsi" w:cstheme="majorBidi"/>
      <w:b/>
      <w:bCs/>
      <w:color w:val="63891F" w:themeColor="accent5"/>
    </w:rPr>
  </w:style>
  <w:style w:type="paragraph" w:styleId="Header">
    <w:name w:val="header"/>
    <w:basedOn w:val="Normal"/>
    <w:link w:val="HeaderChar"/>
    <w:uiPriority w:val="99"/>
    <w:unhideWhenUsed/>
    <w:rsid w:val="00FB62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221"/>
  </w:style>
  <w:style w:type="paragraph" w:styleId="Footer">
    <w:name w:val="footer"/>
    <w:basedOn w:val="Normal"/>
    <w:link w:val="FooterChar"/>
    <w:uiPriority w:val="99"/>
    <w:unhideWhenUsed/>
    <w:rsid w:val="00FB62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221"/>
  </w:style>
  <w:style w:type="paragraph" w:styleId="NormalWeb">
    <w:name w:val="Normal (Web)"/>
    <w:basedOn w:val="Normal"/>
    <w:uiPriority w:val="99"/>
    <w:semiHidden/>
    <w:unhideWhenUsed/>
    <w:rsid w:val="00B2445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F7B6F"/>
    <w:rPr>
      <w:color w:val="3399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33FE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6076B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33FE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63891F" w:themeColor="accent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2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218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719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19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19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9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19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19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99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A33FE"/>
    <w:rPr>
      <w:rFonts w:asciiTheme="majorHAnsi" w:eastAsiaTheme="majorEastAsia" w:hAnsiTheme="majorHAnsi" w:cstheme="majorBidi"/>
      <w:b/>
      <w:bCs/>
      <w:color w:val="6076B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A33FE"/>
    <w:rPr>
      <w:rFonts w:asciiTheme="majorHAnsi" w:eastAsiaTheme="majorEastAsia" w:hAnsiTheme="majorHAnsi" w:cstheme="majorBidi"/>
      <w:b/>
      <w:bCs/>
      <w:color w:val="63891F" w:themeColor="accent5"/>
    </w:rPr>
  </w:style>
  <w:style w:type="paragraph" w:styleId="Header">
    <w:name w:val="header"/>
    <w:basedOn w:val="Normal"/>
    <w:link w:val="HeaderChar"/>
    <w:uiPriority w:val="99"/>
    <w:unhideWhenUsed/>
    <w:rsid w:val="00FB62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221"/>
  </w:style>
  <w:style w:type="paragraph" w:styleId="Footer">
    <w:name w:val="footer"/>
    <w:basedOn w:val="Normal"/>
    <w:link w:val="FooterChar"/>
    <w:uiPriority w:val="99"/>
    <w:unhideWhenUsed/>
    <w:rsid w:val="00FB62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221"/>
  </w:style>
  <w:style w:type="paragraph" w:styleId="NormalWeb">
    <w:name w:val="Normal (Web)"/>
    <w:basedOn w:val="Normal"/>
    <w:uiPriority w:val="99"/>
    <w:semiHidden/>
    <w:unhideWhenUsed/>
    <w:rsid w:val="00B2445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F7B6F"/>
    <w:rPr>
      <w:color w:val="3399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1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83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01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23" Type="http://schemas.microsoft.com/office/2011/relationships/commentsExtended" Target="commentsExtended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10088-7077-4CD1-89C3-61FE71B73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SCDE</Company>
  <LinksUpToDate>false</LinksUpToDate>
  <CharactersWithSpaces>5360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Lilla Toal Mandsager</dc:creator>
  <cp:lastModifiedBy>Lilla Toal Mandsager</cp:lastModifiedBy>
  <cp:revision>4</cp:revision>
  <cp:lastPrinted>2016-09-23T16:51:00Z</cp:lastPrinted>
  <dcterms:created xsi:type="dcterms:W3CDTF">2016-09-29T12:17:00Z</dcterms:created>
  <dcterms:modified xsi:type="dcterms:W3CDTF">2017-03-29T20:45:00Z</dcterms:modified>
</cp:coreProperties>
</file>