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DADBF" w14:textId="23E06209" w:rsidR="0012569D" w:rsidRPr="00FC0FD7" w:rsidRDefault="0012569D" w:rsidP="0012569D">
      <w:pPr>
        <w:rPr>
          <w:rFonts w:eastAsiaTheme="majorEastAsia" w:cstheme="majorBidi"/>
          <w:b/>
          <w:bCs/>
          <w:color w:val="6076B4" w:themeColor="accent1"/>
        </w:rPr>
      </w:pPr>
      <w:r>
        <w:rPr>
          <w:rFonts w:eastAsiaTheme="majorEastAsia" w:cstheme="majorBidi"/>
          <w:b/>
          <w:bCs/>
          <w:noProof/>
          <w:color w:val="6076B4" w:themeColor="accent1"/>
        </w:rPr>
        <w:drawing>
          <wp:inline distT="0" distB="0" distL="0" distR="0" wp14:anchorId="19FF15C7" wp14:editId="5C75E477">
            <wp:extent cx="6410325" cy="638175"/>
            <wp:effectExtent l="0" t="19050" r="0" b="47625"/>
            <wp:docPr id="10" name="Diagram 10" descr="This diagram depicts the difference between the current evaluation system and the 2018-19 system." title="Now vs. 201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4DF5620" w14:textId="77777777" w:rsidR="0012569D" w:rsidRPr="001F28F9" w:rsidRDefault="0012569D" w:rsidP="0012569D">
      <w:pPr>
        <w:pStyle w:val="Heading3"/>
      </w:pPr>
      <w:r w:rsidRPr="001F28F9">
        <w:t>Transition Milestones</w:t>
      </w:r>
    </w:p>
    <w:p w14:paraId="06F7C605" w14:textId="77777777" w:rsidR="0012569D" w:rsidRPr="002F555F" w:rsidRDefault="0012569D" w:rsidP="0012569D">
      <w:pPr>
        <w:pStyle w:val="ListParagraph"/>
        <w:numPr>
          <w:ilvl w:val="0"/>
          <w:numId w:val="13"/>
        </w:numPr>
      </w:pPr>
      <w:r w:rsidRPr="002F555F">
        <w:t>Planning 2016–17: District plans for transition, training, and certification timeline</w:t>
      </w:r>
      <w:r>
        <w:t>.</w:t>
      </w:r>
    </w:p>
    <w:p w14:paraId="6A7470BA" w14:textId="77777777" w:rsidR="0012569D" w:rsidRPr="002F555F" w:rsidRDefault="0012569D" w:rsidP="0012569D">
      <w:pPr>
        <w:pStyle w:val="ListParagraph"/>
        <w:numPr>
          <w:ilvl w:val="0"/>
          <w:numId w:val="13"/>
        </w:numPr>
      </w:pPr>
      <w:r w:rsidRPr="002F555F">
        <w:t>Transition 2017–18: District executes transition, training, and certification timeline</w:t>
      </w:r>
      <w:r>
        <w:t>.</w:t>
      </w:r>
      <w:r w:rsidRPr="002F555F">
        <w:t xml:space="preserve"> </w:t>
      </w:r>
    </w:p>
    <w:p w14:paraId="10157148" w14:textId="77777777" w:rsidR="0012569D" w:rsidRPr="002F555F" w:rsidRDefault="0012569D" w:rsidP="0012569D">
      <w:pPr>
        <w:pStyle w:val="ListParagraph"/>
        <w:numPr>
          <w:ilvl w:val="0"/>
          <w:numId w:val="13"/>
        </w:numPr>
        <w:rPr>
          <w:b/>
        </w:rPr>
      </w:pPr>
      <w:r w:rsidRPr="002F555F">
        <w:t xml:space="preserve">Implementation 1, 2018–19: </w:t>
      </w:r>
      <w:r w:rsidRPr="002F555F">
        <w:rPr>
          <w:b/>
        </w:rPr>
        <w:t>Every SC Teacher is supported with SC Teaching Standards</w:t>
      </w:r>
      <w:r>
        <w:rPr>
          <w:b/>
        </w:rPr>
        <w:t>.</w:t>
      </w:r>
      <w:r w:rsidRPr="002F555F">
        <w:rPr>
          <w:b/>
        </w:rPr>
        <w:t xml:space="preserve"> </w:t>
      </w:r>
    </w:p>
    <w:p w14:paraId="21A7853D" w14:textId="77777777" w:rsidR="0012569D" w:rsidRPr="002F555F" w:rsidRDefault="0012569D" w:rsidP="0012569D">
      <w:pPr>
        <w:pStyle w:val="ListParagraph"/>
        <w:numPr>
          <w:ilvl w:val="0"/>
          <w:numId w:val="13"/>
        </w:numPr>
      </w:pPr>
      <w:r w:rsidRPr="002F555F">
        <w:t>Implementation 2, 2019–20:</w:t>
      </w:r>
      <w:r w:rsidRPr="002F555F">
        <w:rPr>
          <w:b/>
        </w:rPr>
        <w:t xml:space="preserve"> </w:t>
      </w:r>
      <w:r w:rsidRPr="002F555F">
        <w:t xml:space="preserve">District refines </w:t>
      </w:r>
      <w:r>
        <w:t xml:space="preserve">Expanded </w:t>
      </w:r>
      <w:r w:rsidRPr="002F555F">
        <w:t>ADEPT implementation based on lessons learned</w:t>
      </w:r>
      <w:r>
        <w:t>.</w:t>
      </w:r>
    </w:p>
    <w:p w14:paraId="32AF43D6" w14:textId="77777777" w:rsidR="0012569D" w:rsidRPr="001F28F9" w:rsidRDefault="0012569D" w:rsidP="0012569D">
      <w:pPr>
        <w:pStyle w:val="Heading3"/>
      </w:pPr>
      <w:r w:rsidRPr="001F28F9">
        <w:t xml:space="preserve">Option One: Regular Phase-in </w:t>
      </w:r>
    </w:p>
    <w:tbl>
      <w:tblPr>
        <w:tblStyle w:val="TableGrid"/>
        <w:tblW w:w="4991" w:type="pct"/>
        <w:tblLook w:val="04A0" w:firstRow="1" w:lastRow="0" w:firstColumn="1" w:lastColumn="0" w:noHBand="0" w:noVBand="1"/>
        <w:tblCaption w:val="Regular Phase-In"/>
        <w:tblDescription w:val="This table describes the evaluation tools used for different contract levels in 2017-18 and 2018-20."/>
      </w:tblPr>
      <w:tblGrid>
        <w:gridCol w:w="3599"/>
        <w:gridCol w:w="3677"/>
        <w:gridCol w:w="3001"/>
      </w:tblGrid>
      <w:tr w:rsidR="0012569D" w:rsidRPr="002F555F" w14:paraId="7713A7F8" w14:textId="77777777" w:rsidTr="0058549F">
        <w:trPr>
          <w:tblHeader/>
        </w:trPr>
        <w:tc>
          <w:tcPr>
            <w:tcW w:w="1751" w:type="pct"/>
          </w:tcPr>
          <w:p w14:paraId="08CA37F2" w14:textId="77777777" w:rsidR="0012569D" w:rsidRPr="002F555F" w:rsidRDefault="0012569D" w:rsidP="00344810">
            <w:pPr>
              <w:jc w:val="center"/>
              <w:rPr>
                <w:b/>
              </w:rPr>
            </w:pPr>
          </w:p>
        </w:tc>
        <w:tc>
          <w:tcPr>
            <w:tcW w:w="1789" w:type="pct"/>
          </w:tcPr>
          <w:p w14:paraId="50D0F22A" w14:textId="77777777" w:rsidR="0012569D" w:rsidRPr="002F555F" w:rsidRDefault="0012569D" w:rsidP="00344810">
            <w:pPr>
              <w:jc w:val="center"/>
              <w:rPr>
                <w:b/>
              </w:rPr>
            </w:pPr>
            <w:r w:rsidRPr="002F555F">
              <w:rPr>
                <w:b/>
              </w:rPr>
              <w:t xml:space="preserve">2017–18 </w:t>
            </w:r>
          </w:p>
          <w:p w14:paraId="7AE71862" w14:textId="77777777" w:rsidR="0012569D" w:rsidRPr="002F555F" w:rsidRDefault="0012569D" w:rsidP="00344810">
            <w:pPr>
              <w:jc w:val="center"/>
              <w:rPr>
                <w:b/>
              </w:rPr>
            </w:pPr>
            <w:r w:rsidRPr="002F555F">
              <w:rPr>
                <w:b/>
              </w:rPr>
              <w:t>Transition</w:t>
            </w:r>
          </w:p>
        </w:tc>
        <w:tc>
          <w:tcPr>
            <w:tcW w:w="1460" w:type="pct"/>
          </w:tcPr>
          <w:p w14:paraId="0E9F73B9" w14:textId="77777777" w:rsidR="0012569D" w:rsidRPr="002F555F" w:rsidRDefault="0012569D" w:rsidP="00344810">
            <w:pPr>
              <w:jc w:val="center"/>
              <w:rPr>
                <w:b/>
              </w:rPr>
            </w:pPr>
            <w:r w:rsidRPr="002F555F">
              <w:rPr>
                <w:b/>
              </w:rPr>
              <w:t>2018–19 Implementation 1</w:t>
            </w:r>
          </w:p>
          <w:p w14:paraId="16272719" w14:textId="77777777" w:rsidR="0012569D" w:rsidRPr="002F555F" w:rsidRDefault="0012569D" w:rsidP="00344810">
            <w:pPr>
              <w:jc w:val="center"/>
              <w:rPr>
                <w:b/>
              </w:rPr>
            </w:pPr>
            <w:r w:rsidRPr="002F555F">
              <w:rPr>
                <w:b/>
              </w:rPr>
              <w:t xml:space="preserve"> 2019–20 Implementation 2</w:t>
            </w:r>
          </w:p>
        </w:tc>
      </w:tr>
      <w:tr w:rsidR="0012569D" w:rsidRPr="002F555F" w14:paraId="3B3E7A97" w14:textId="77777777" w:rsidTr="00344810">
        <w:tc>
          <w:tcPr>
            <w:tcW w:w="1751" w:type="pct"/>
          </w:tcPr>
          <w:p w14:paraId="481FD6A5" w14:textId="77777777" w:rsidR="0012569D" w:rsidRPr="002F555F" w:rsidRDefault="0012569D" w:rsidP="00344810">
            <w:pPr>
              <w:jc w:val="center"/>
              <w:rPr>
                <w:b/>
              </w:rPr>
            </w:pPr>
            <w:r w:rsidRPr="002F555F">
              <w:rPr>
                <w:b/>
              </w:rPr>
              <w:t>Induction (Formative)</w:t>
            </w:r>
          </w:p>
        </w:tc>
        <w:tc>
          <w:tcPr>
            <w:tcW w:w="1789" w:type="pct"/>
            <w:shd w:val="clear" w:color="auto" w:fill="E2F2C7" w:themeFill="accent5" w:themeFillTint="33"/>
          </w:tcPr>
          <w:p w14:paraId="087A5408" w14:textId="77777777" w:rsidR="0012569D" w:rsidRPr="002F555F" w:rsidRDefault="0012569D" w:rsidP="00344810">
            <w:pPr>
              <w:jc w:val="center"/>
            </w:pPr>
            <w:r w:rsidRPr="002F555F">
              <w:t xml:space="preserve">SAFE-T + </w:t>
            </w:r>
          </w:p>
          <w:p w14:paraId="57F67372" w14:textId="77777777" w:rsidR="0012569D" w:rsidRPr="002F555F" w:rsidRDefault="0012569D" w:rsidP="00344810">
            <w:pPr>
              <w:jc w:val="center"/>
            </w:pPr>
            <w:r w:rsidRPr="002F555F">
              <w:t>Crosswalk from APS to SCTS</w:t>
            </w:r>
          </w:p>
        </w:tc>
        <w:tc>
          <w:tcPr>
            <w:tcW w:w="1460" w:type="pct"/>
          </w:tcPr>
          <w:p w14:paraId="24B7D3A1" w14:textId="77777777" w:rsidR="0012569D" w:rsidRPr="002F555F" w:rsidRDefault="0012569D" w:rsidP="00344810">
            <w:pPr>
              <w:jc w:val="center"/>
            </w:pPr>
            <w:r w:rsidRPr="002F555F">
              <w:t>SCTS</w:t>
            </w:r>
          </w:p>
        </w:tc>
      </w:tr>
      <w:tr w:rsidR="0012569D" w:rsidRPr="002F555F" w14:paraId="030BDE82" w14:textId="77777777" w:rsidTr="00344810">
        <w:tc>
          <w:tcPr>
            <w:tcW w:w="1751" w:type="pct"/>
          </w:tcPr>
          <w:p w14:paraId="66F1C80C" w14:textId="77777777" w:rsidR="0012569D" w:rsidRPr="002F555F" w:rsidRDefault="0012569D" w:rsidP="00344810">
            <w:pPr>
              <w:jc w:val="center"/>
              <w:rPr>
                <w:b/>
              </w:rPr>
            </w:pPr>
            <w:r w:rsidRPr="002F555F">
              <w:rPr>
                <w:b/>
              </w:rPr>
              <w:t>Annual (Summative)</w:t>
            </w:r>
          </w:p>
        </w:tc>
        <w:tc>
          <w:tcPr>
            <w:tcW w:w="1789" w:type="pct"/>
          </w:tcPr>
          <w:p w14:paraId="6494625A" w14:textId="77777777" w:rsidR="0012569D" w:rsidRPr="002F555F" w:rsidRDefault="0012569D" w:rsidP="00344810">
            <w:pPr>
              <w:jc w:val="center"/>
            </w:pPr>
            <w:r w:rsidRPr="002F555F">
              <w:t>SAFE-T</w:t>
            </w:r>
          </w:p>
        </w:tc>
        <w:tc>
          <w:tcPr>
            <w:tcW w:w="1460" w:type="pct"/>
          </w:tcPr>
          <w:p w14:paraId="2B8E0969" w14:textId="77777777" w:rsidR="0012569D" w:rsidRPr="002F555F" w:rsidRDefault="0012569D" w:rsidP="00344810">
            <w:pPr>
              <w:jc w:val="center"/>
            </w:pPr>
            <w:r w:rsidRPr="002F555F">
              <w:t>SCTS</w:t>
            </w:r>
          </w:p>
        </w:tc>
      </w:tr>
      <w:tr w:rsidR="0012569D" w:rsidRPr="002F555F" w14:paraId="1A9A5CF2" w14:textId="77777777" w:rsidTr="00344810">
        <w:tc>
          <w:tcPr>
            <w:tcW w:w="1751" w:type="pct"/>
          </w:tcPr>
          <w:p w14:paraId="7963E123" w14:textId="596119EE" w:rsidR="0012569D" w:rsidRPr="002F555F" w:rsidRDefault="0012569D" w:rsidP="00C57CAF">
            <w:pPr>
              <w:jc w:val="center"/>
              <w:rPr>
                <w:b/>
              </w:rPr>
            </w:pPr>
            <w:r w:rsidRPr="002F555F">
              <w:rPr>
                <w:b/>
              </w:rPr>
              <w:t>Continuing Contract Recertification (</w:t>
            </w:r>
            <w:r w:rsidR="00C57CAF">
              <w:rPr>
                <w:b/>
              </w:rPr>
              <w:t>Formative</w:t>
            </w:r>
            <w:r w:rsidRPr="002F555F">
              <w:rPr>
                <w:b/>
              </w:rPr>
              <w:t>)</w:t>
            </w:r>
          </w:p>
        </w:tc>
        <w:tc>
          <w:tcPr>
            <w:tcW w:w="1789" w:type="pct"/>
          </w:tcPr>
          <w:p w14:paraId="07C0F99A" w14:textId="77777777" w:rsidR="0012569D" w:rsidRPr="002F555F" w:rsidRDefault="0012569D" w:rsidP="00344810">
            <w:pPr>
              <w:jc w:val="center"/>
            </w:pPr>
            <w:r w:rsidRPr="002F555F">
              <w:t>SAFE-T</w:t>
            </w:r>
          </w:p>
        </w:tc>
        <w:tc>
          <w:tcPr>
            <w:tcW w:w="1460" w:type="pct"/>
          </w:tcPr>
          <w:p w14:paraId="11343322" w14:textId="77777777" w:rsidR="0012569D" w:rsidRPr="002F555F" w:rsidRDefault="0012569D" w:rsidP="00344810">
            <w:pPr>
              <w:jc w:val="center"/>
            </w:pPr>
            <w:r w:rsidRPr="002F555F">
              <w:t xml:space="preserve">SCTS </w:t>
            </w:r>
          </w:p>
        </w:tc>
      </w:tr>
      <w:tr w:rsidR="0012569D" w:rsidRPr="002F555F" w14:paraId="21139BA4" w14:textId="77777777" w:rsidTr="00344810">
        <w:tc>
          <w:tcPr>
            <w:tcW w:w="1751" w:type="pct"/>
          </w:tcPr>
          <w:p w14:paraId="2EEC6F3B" w14:textId="77777777" w:rsidR="0012569D" w:rsidRPr="002F555F" w:rsidRDefault="0012569D" w:rsidP="00344810">
            <w:pPr>
              <w:jc w:val="center"/>
              <w:rPr>
                <w:b/>
              </w:rPr>
            </w:pPr>
            <w:r w:rsidRPr="002F555F">
              <w:rPr>
                <w:b/>
              </w:rPr>
              <w:t xml:space="preserve">Continuing Contract (Formative) </w:t>
            </w:r>
          </w:p>
        </w:tc>
        <w:tc>
          <w:tcPr>
            <w:tcW w:w="1789" w:type="pct"/>
            <w:shd w:val="clear" w:color="auto" w:fill="E2F2C7" w:themeFill="accent5" w:themeFillTint="33"/>
          </w:tcPr>
          <w:p w14:paraId="3F73F091" w14:textId="77777777" w:rsidR="0012569D" w:rsidRPr="002F555F" w:rsidRDefault="0012569D" w:rsidP="00344810">
            <w:pPr>
              <w:jc w:val="center"/>
            </w:pPr>
            <w:r w:rsidRPr="002F555F">
              <w:t>Informal Observation (Form D)</w:t>
            </w:r>
          </w:p>
          <w:p w14:paraId="5DE0C51D" w14:textId="77777777" w:rsidR="0012569D" w:rsidRPr="002F555F" w:rsidRDefault="0012569D" w:rsidP="00344810">
            <w:pPr>
              <w:jc w:val="center"/>
            </w:pPr>
            <w:r w:rsidRPr="002F555F">
              <w:t>or SCTS</w:t>
            </w:r>
          </w:p>
        </w:tc>
        <w:tc>
          <w:tcPr>
            <w:tcW w:w="1460" w:type="pct"/>
          </w:tcPr>
          <w:p w14:paraId="12F6CC98" w14:textId="77777777" w:rsidR="0012569D" w:rsidRPr="002F555F" w:rsidRDefault="0012569D" w:rsidP="00344810">
            <w:pPr>
              <w:jc w:val="center"/>
            </w:pPr>
            <w:r w:rsidRPr="002F555F">
              <w:t xml:space="preserve">SCTS </w:t>
            </w:r>
          </w:p>
        </w:tc>
      </w:tr>
    </w:tbl>
    <w:p w14:paraId="0846B3CE" w14:textId="77777777" w:rsidR="0012569D" w:rsidRPr="002F555F" w:rsidRDefault="0012569D" w:rsidP="0012569D"/>
    <w:tbl>
      <w:tblPr>
        <w:tblStyle w:val="TableGrid"/>
        <w:tblW w:w="4991" w:type="pct"/>
        <w:tblLook w:val="04A0" w:firstRow="1" w:lastRow="0" w:firstColumn="1" w:lastColumn="0" w:noHBand="0" w:noVBand="1"/>
        <w:tblCaption w:val="Implications for Districts"/>
        <w:tblDescription w:val="• Before Transition year: evaluators and induction mentors trained, practice observations with SCTS&#10;• During Transition year: orient teachers, certify evaluators, integrate SCTS into induction program, and practice observations with SCTS &#10;• During Implementation  year 1: ensure evaluators are certified on SCTS&#10;"/>
      </w:tblPr>
      <w:tblGrid>
        <w:gridCol w:w="1472"/>
        <w:gridCol w:w="8805"/>
      </w:tblGrid>
      <w:tr w:rsidR="0012569D" w:rsidRPr="002F555F" w14:paraId="2F00E9D3" w14:textId="77777777" w:rsidTr="0058549F">
        <w:trPr>
          <w:tblHeader/>
        </w:trPr>
        <w:tc>
          <w:tcPr>
            <w:tcW w:w="716" w:type="pct"/>
            <w:shd w:val="clear" w:color="auto" w:fill="F2F2F2" w:themeFill="background1" w:themeFillShade="F2"/>
          </w:tcPr>
          <w:p w14:paraId="1B6C956B" w14:textId="77777777" w:rsidR="0012569D" w:rsidRPr="002F555F" w:rsidRDefault="0012569D" w:rsidP="00344810">
            <w:pPr>
              <w:jc w:val="center"/>
              <w:rPr>
                <w:b/>
              </w:rPr>
            </w:pPr>
            <w:r w:rsidRPr="002F555F">
              <w:rPr>
                <w:b/>
              </w:rPr>
              <w:t>Implications for Districts</w:t>
            </w:r>
          </w:p>
        </w:tc>
        <w:tc>
          <w:tcPr>
            <w:tcW w:w="4284" w:type="pct"/>
            <w:shd w:val="clear" w:color="auto" w:fill="F2F2F2" w:themeFill="background1" w:themeFillShade="F2"/>
          </w:tcPr>
          <w:p w14:paraId="2FACEA76" w14:textId="77777777" w:rsidR="0012569D" w:rsidRPr="002F555F" w:rsidRDefault="0012569D" w:rsidP="00344810">
            <w:pPr>
              <w:pStyle w:val="ListParagraph"/>
              <w:numPr>
                <w:ilvl w:val="0"/>
                <w:numId w:val="14"/>
              </w:numPr>
            </w:pPr>
            <w:r w:rsidRPr="002F555F">
              <w:t>Before Transition year: evaluators and induction mentors trained, practice observations with SCTS</w:t>
            </w:r>
          </w:p>
          <w:p w14:paraId="17AB7A60" w14:textId="7697FBF6" w:rsidR="0012569D" w:rsidRPr="002F555F" w:rsidRDefault="0012569D" w:rsidP="00344810">
            <w:pPr>
              <w:pStyle w:val="ListParagraph"/>
              <w:numPr>
                <w:ilvl w:val="0"/>
                <w:numId w:val="14"/>
              </w:numPr>
            </w:pPr>
            <w:r w:rsidRPr="002F555F">
              <w:t xml:space="preserve">During Transition year: orient teachers, certify evaluators, integrate SCTS into induction program, and practice observations with SCTS </w:t>
            </w:r>
          </w:p>
          <w:p w14:paraId="28826F9F" w14:textId="1CD5FD58" w:rsidR="0012569D" w:rsidRPr="002F555F" w:rsidRDefault="0012569D" w:rsidP="00FC77FA">
            <w:pPr>
              <w:pStyle w:val="ListParagraph"/>
              <w:numPr>
                <w:ilvl w:val="0"/>
                <w:numId w:val="14"/>
              </w:numPr>
            </w:pPr>
            <w:r w:rsidRPr="002F555F">
              <w:t xml:space="preserve">During Implementation </w:t>
            </w:r>
            <w:r w:rsidR="00CC5396">
              <w:t xml:space="preserve"> year </w:t>
            </w:r>
            <w:r w:rsidRPr="002F555F">
              <w:t>1: ensure evaluators are certified on SCTS</w:t>
            </w:r>
          </w:p>
        </w:tc>
      </w:tr>
    </w:tbl>
    <w:p w14:paraId="51170CEE" w14:textId="77777777" w:rsidR="0012569D" w:rsidRPr="002F555F" w:rsidRDefault="0012569D" w:rsidP="0012569D">
      <w:pPr>
        <w:rPr>
          <w:b/>
        </w:rPr>
      </w:pPr>
    </w:p>
    <w:p w14:paraId="7C57F906" w14:textId="468E9C96" w:rsidR="0012569D" w:rsidRPr="001F28F9" w:rsidRDefault="0012569D" w:rsidP="0012569D">
      <w:pPr>
        <w:pStyle w:val="Heading3"/>
        <w:rPr>
          <w:color w:val="9C5252" w:themeColor="accent2"/>
        </w:rPr>
      </w:pPr>
      <w:r w:rsidRPr="00CC5396">
        <w:rPr>
          <w:color w:val="9C5252" w:themeColor="accent2"/>
        </w:rPr>
        <w:t xml:space="preserve">Option Two: </w:t>
      </w:r>
      <w:r w:rsidRPr="00CC5396">
        <w:rPr>
          <w:color w:val="E68422" w:themeColor="accent3"/>
        </w:rPr>
        <w:t>Early Adopters</w:t>
      </w:r>
      <w:r w:rsidR="00B42380" w:rsidRPr="00CC5396">
        <w:rPr>
          <w:color w:val="E68422" w:themeColor="accent3"/>
        </w:rPr>
        <w:t xml:space="preserve"> (Formative) </w:t>
      </w:r>
      <w:r w:rsidR="00B42380" w:rsidRPr="00CC5396">
        <w:rPr>
          <w:color w:val="9C5252" w:themeColor="accent2"/>
        </w:rPr>
        <w:t>and Full Early Adopters (Summative and Formative)</w:t>
      </w:r>
    </w:p>
    <w:tbl>
      <w:tblPr>
        <w:tblStyle w:val="TableGrid"/>
        <w:tblW w:w="4991" w:type="pct"/>
        <w:tblLook w:val="04A0" w:firstRow="1" w:lastRow="0" w:firstColumn="1" w:lastColumn="0" w:noHBand="0" w:noVBand="1"/>
        <w:tblCaption w:val="Early Adopters (Formative) and Full Early Adopters (Summative and Formative)"/>
        <w:tblDescription w:val="This table describes the evaluation tools used for different contract levels in 2017-18 and 2018-20."/>
      </w:tblPr>
      <w:tblGrid>
        <w:gridCol w:w="3598"/>
        <w:gridCol w:w="1838"/>
        <w:gridCol w:w="1840"/>
        <w:gridCol w:w="3001"/>
      </w:tblGrid>
      <w:tr w:rsidR="0012569D" w:rsidRPr="002F555F" w14:paraId="436732BC" w14:textId="77777777" w:rsidTr="0058549F">
        <w:trPr>
          <w:tblHeader/>
        </w:trPr>
        <w:tc>
          <w:tcPr>
            <w:tcW w:w="1751" w:type="pct"/>
          </w:tcPr>
          <w:p w14:paraId="55F950F7" w14:textId="77777777" w:rsidR="0012569D" w:rsidRPr="002F555F" w:rsidRDefault="0012569D" w:rsidP="00344810">
            <w:pPr>
              <w:jc w:val="center"/>
              <w:rPr>
                <w:b/>
              </w:rPr>
            </w:pPr>
          </w:p>
        </w:tc>
        <w:tc>
          <w:tcPr>
            <w:tcW w:w="1789" w:type="pct"/>
            <w:gridSpan w:val="2"/>
          </w:tcPr>
          <w:p w14:paraId="58A40240" w14:textId="77777777" w:rsidR="0012569D" w:rsidRPr="002F555F" w:rsidRDefault="0012569D" w:rsidP="00344810">
            <w:pPr>
              <w:jc w:val="center"/>
              <w:rPr>
                <w:b/>
              </w:rPr>
            </w:pPr>
            <w:r w:rsidRPr="002F555F">
              <w:rPr>
                <w:b/>
              </w:rPr>
              <w:t xml:space="preserve">2017–18 </w:t>
            </w:r>
          </w:p>
          <w:p w14:paraId="26F72805" w14:textId="77777777" w:rsidR="0012569D" w:rsidRPr="002F555F" w:rsidRDefault="0012569D" w:rsidP="00344810">
            <w:pPr>
              <w:jc w:val="center"/>
              <w:rPr>
                <w:b/>
              </w:rPr>
            </w:pPr>
            <w:r w:rsidRPr="002F555F">
              <w:rPr>
                <w:b/>
              </w:rPr>
              <w:t>Transition</w:t>
            </w:r>
          </w:p>
        </w:tc>
        <w:tc>
          <w:tcPr>
            <w:tcW w:w="1460" w:type="pct"/>
          </w:tcPr>
          <w:p w14:paraId="72C70854" w14:textId="77777777" w:rsidR="0012569D" w:rsidRPr="002F555F" w:rsidRDefault="0012569D" w:rsidP="00344810">
            <w:pPr>
              <w:jc w:val="center"/>
              <w:rPr>
                <w:b/>
              </w:rPr>
            </w:pPr>
            <w:r w:rsidRPr="002F555F">
              <w:rPr>
                <w:b/>
              </w:rPr>
              <w:t>2018–19 Implementation 1</w:t>
            </w:r>
          </w:p>
          <w:p w14:paraId="5897676A" w14:textId="77777777" w:rsidR="0012569D" w:rsidRPr="002F555F" w:rsidRDefault="0012569D" w:rsidP="00344810">
            <w:pPr>
              <w:jc w:val="center"/>
              <w:rPr>
                <w:b/>
              </w:rPr>
            </w:pPr>
            <w:r w:rsidRPr="002F555F">
              <w:rPr>
                <w:b/>
              </w:rPr>
              <w:t xml:space="preserve"> 2019–20 Implementation 2</w:t>
            </w:r>
          </w:p>
        </w:tc>
      </w:tr>
      <w:tr w:rsidR="00B42380" w:rsidRPr="002F555F" w14:paraId="07801D73" w14:textId="77777777" w:rsidTr="00CC5396">
        <w:tc>
          <w:tcPr>
            <w:tcW w:w="1751" w:type="pct"/>
          </w:tcPr>
          <w:p w14:paraId="69123F58" w14:textId="77777777" w:rsidR="00B42380" w:rsidRPr="002F555F" w:rsidRDefault="00B42380" w:rsidP="00344810">
            <w:pPr>
              <w:jc w:val="center"/>
              <w:rPr>
                <w:b/>
              </w:rPr>
            </w:pPr>
            <w:r w:rsidRPr="002F555F">
              <w:rPr>
                <w:b/>
              </w:rPr>
              <w:t>Induction (Formative)</w:t>
            </w:r>
          </w:p>
        </w:tc>
        <w:tc>
          <w:tcPr>
            <w:tcW w:w="894" w:type="pct"/>
            <w:shd w:val="clear" w:color="auto" w:fill="F5CDA6" w:themeFill="accent3" w:themeFillTint="66"/>
          </w:tcPr>
          <w:p w14:paraId="6F96AE00" w14:textId="77777777" w:rsidR="00B42380" w:rsidRPr="002F555F" w:rsidRDefault="00B42380" w:rsidP="00344810">
            <w:pPr>
              <w:jc w:val="center"/>
            </w:pPr>
            <w:r w:rsidRPr="002F555F">
              <w:t xml:space="preserve">SCTS </w:t>
            </w:r>
          </w:p>
          <w:p w14:paraId="3D811578" w14:textId="6FB7261F" w:rsidR="00B42380" w:rsidRPr="002F555F" w:rsidRDefault="00B42380" w:rsidP="00344810">
            <w:pPr>
              <w:jc w:val="center"/>
            </w:pPr>
          </w:p>
        </w:tc>
        <w:tc>
          <w:tcPr>
            <w:tcW w:w="895" w:type="pct"/>
            <w:shd w:val="clear" w:color="auto" w:fill="D9B7B7" w:themeFill="accent2" w:themeFillTint="66"/>
          </w:tcPr>
          <w:p w14:paraId="7C150621" w14:textId="6775098C" w:rsidR="00B42380" w:rsidRPr="002F555F" w:rsidRDefault="00CC5396" w:rsidP="00344810">
            <w:pPr>
              <w:jc w:val="center"/>
            </w:pPr>
            <w:r w:rsidRPr="002F555F">
              <w:t xml:space="preserve">SCTS </w:t>
            </w:r>
          </w:p>
        </w:tc>
        <w:tc>
          <w:tcPr>
            <w:tcW w:w="1460" w:type="pct"/>
          </w:tcPr>
          <w:p w14:paraId="4D992729" w14:textId="77777777" w:rsidR="00B42380" w:rsidRPr="002F555F" w:rsidRDefault="00B42380" w:rsidP="00344810">
            <w:pPr>
              <w:jc w:val="center"/>
            </w:pPr>
            <w:r w:rsidRPr="002F555F">
              <w:t>SCTS</w:t>
            </w:r>
          </w:p>
        </w:tc>
      </w:tr>
      <w:tr w:rsidR="00B42380" w:rsidRPr="002F555F" w14:paraId="47370CAB" w14:textId="77777777" w:rsidTr="00CC5396">
        <w:tc>
          <w:tcPr>
            <w:tcW w:w="1751" w:type="pct"/>
          </w:tcPr>
          <w:p w14:paraId="58F6782D" w14:textId="77777777" w:rsidR="00B42380" w:rsidRPr="002F555F" w:rsidRDefault="00B42380" w:rsidP="00344810">
            <w:pPr>
              <w:jc w:val="center"/>
              <w:rPr>
                <w:b/>
              </w:rPr>
            </w:pPr>
            <w:r w:rsidRPr="002F555F">
              <w:rPr>
                <w:b/>
              </w:rPr>
              <w:t>Annual (Summative)</w:t>
            </w:r>
          </w:p>
        </w:tc>
        <w:tc>
          <w:tcPr>
            <w:tcW w:w="894" w:type="pct"/>
            <w:shd w:val="clear" w:color="auto" w:fill="FFFFFF" w:themeFill="background1"/>
          </w:tcPr>
          <w:p w14:paraId="222FC3ED" w14:textId="603E5830" w:rsidR="00B42380" w:rsidRPr="002F555F" w:rsidRDefault="00CC5396" w:rsidP="00344810">
            <w:pPr>
              <w:jc w:val="center"/>
            </w:pPr>
            <w:r w:rsidRPr="002F555F">
              <w:t>SAFE-T</w:t>
            </w:r>
          </w:p>
        </w:tc>
        <w:tc>
          <w:tcPr>
            <w:tcW w:w="895" w:type="pct"/>
            <w:shd w:val="clear" w:color="auto" w:fill="D9B7B7" w:themeFill="accent2" w:themeFillTint="66"/>
          </w:tcPr>
          <w:p w14:paraId="026D476B" w14:textId="0FFC3F51" w:rsidR="00B42380" w:rsidRPr="002F555F" w:rsidRDefault="00CC5396" w:rsidP="00344810">
            <w:pPr>
              <w:jc w:val="center"/>
            </w:pPr>
            <w:r w:rsidRPr="002F555F">
              <w:t>SCTS</w:t>
            </w:r>
          </w:p>
        </w:tc>
        <w:tc>
          <w:tcPr>
            <w:tcW w:w="1460" w:type="pct"/>
          </w:tcPr>
          <w:p w14:paraId="35598B05" w14:textId="77777777" w:rsidR="00B42380" w:rsidRPr="002F555F" w:rsidRDefault="00B42380" w:rsidP="00344810">
            <w:pPr>
              <w:jc w:val="center"/>
            </w:pPr>
            <w:r w:rsidRPr="002F555F">
              <w:t>SCTS</w:t>
            </w:r>
          </w:p>
        </w:tc>
      </w:tr>
      <w:tr w:rsidR="00B42380" w:rsidRPr="002F555F" w14:paraId="68389B10" w14:textId="77777777" w:rsidTr="00CC5396">
        <w:tc>
          <w:tcPr>
            <w:tcW w:w="1751" w:type="pct"/>
          </w:tcPr>
          <w:p w14:paraId="25EDE266" w14:textId="408D4C7D" w:rsidR="00B42380" w:rsidRPr="002F555F" w:rsidRDefault="00B42380" w:rsidP="00C57CAF">
            <w:pPr>
              <w:jc w:val="center"/>
              <w:rPr>
                <w:b/>
              </w:rPr>
            </w:pPr>
            <w:r w:rsidRPr="002F555F">
              <w:rPr>
                <w:b/>
              </w:rPr>
              <w:t>Continuing Contract Recertification (</w:t>
            </w:r>
            <w:r>
              <w:rPr>
                <w:b/>
              </w:rPr>
              <w:t>Formative</w:t>
            </w:r>
            <w:r w:rsidRPr="002F555F">
              <w:rPr>
                <w:b/>
              </w:rPr>
              <w:t>)</w:t>
            </w:r>
          </w:p>
        </w:tc>
        <w:tc>
          <w:tcPr>
            <w:tcW w:w="894" w:type="pct"/>
            <w:shd w:val="clear" w:color="auto" w:fill="FFFFFF" w:themeFill="background1"/>
          </w:tcPr>
          <w:p w14:paraId="3A5A24B5" w14:textId="52CA1D0D" w:rsidR="00B42380" w:rsidRPr="002F555F" w:rsidRDefault="00CC5396" w:rsidP="00344810">
            <w:pPr>
              <w:jc w:val="center"/>
            </w:pPr>
            <w:r w:rsidRPr="002F555F">
              <w:t>SAFE-T</w:t>
            </w:r>
          </w:p>
        </w:tc>
        <w:tc>
          <w:tcPr>
            <w:tcW w:w="895" w:type="pct"/>
            <w:shd w:val="clear" w:color="auto" w:fill="D9B7B7" w:themeFill="accent2" w:themeFillTint="66"/>
          </w:tcPr>
          <w:p w14:paraId="32133A92" w14:textId="5B15B8C7" w:rsidR="00B42380" w:rsidRPr="002F555F" w:rsidRDefault="00CC5396" w:rsidP="00344810">
            <w:pPr>
              <w:jc w:val="center"/>
            </w:pPr>
            <w:r w:rsidRPr="002F555F">
              <w:t>SCTS</w:t>
            </w:r>
          </w:p>
        </w:tc>
        <w:tc>
          <w:tcPr>
            <w:tcW w:w="1460" w:type="pct"/>
          </w:tcPr>
          <w:p w14:paraId="26BAD2E0" w14:textId="77777777" w:rsidR="00B42380" w:rsidRPr="002F555F" w:rsidRDefault="00B42380" w:rsidP="00344810">
            <w:pPr>
              <w:jc w:val="center"/>
            </w:pPr>
            <w:r w:rsidRPr="002F555F">
              <w:t xml:space="preserve">SCTS </w:t>
            </w:r>
          </w:p>
        </w:tc>
      </w:tr>
      <w:tr w:rsidR="00B42380" w:rsidRPr="002F555F" w14:paraId="68A3C5E5" w14:textId="77777777" w:rsidTr="00CC5396">
        <w:tc>
          <w:tcPr>
            <w:tcW w:w="1751" w:type="pct"/>
          </w:tcPr>
          <w:p w14:paraId="5EA19DC9" w14:textId="77777777" w:rsidR="00B42380" w:rsidRPr="002F555F" w:rsidRDefault="00B42380" w:rsidP="00344810">
            <w:pPr>
              <w:jc w:val="center"/>
              <w:rPr>
                <w:b/>
              </w:rPr>
            </w:pPr>
            <w:r w:rsidRPr="002F555F">
              <w:rPr>
                <w:b/>
              </w:rPr>
              <w:t>Continuing Contract (Formative)</w:t>
            </w:r>
          </w:p>
        </w:tc>
        <w:tc>
          <w:tcPr>
            <w:tcW w:w="894" w:type="pct"/>
            <w:shd w:val="clear" w:color="auto" w:fill="F5CDA6" w:themeFill="accent3" w:themeFillTint="66"/>
          </w:tcPr>
          <w:p w14:paraId="073E5939" w14:textId="1B13F39A" w:rsidR="00B42380" w:rsidRPr="002F555F" w:rsidRDefault="00CC5396" w:rsidP="00344810">
            <w:pPr>
              <w:jc w:val="center"/>
            </w:pPr>
            <w:r w:rsidRPr="002F555F">
              <w:t>SCTS</w:t>
            </w:r>
          </w:p>
        </w:tc>
        <w:tc>
          <w:tcPr>
            <w:tcW w:w="895" w:type="pct"/>
            <w:shd w:val="clear" w:color="auto" w:fill="D9B7B7" w:themeFill="accent2" w:themeFillTint="66"/>
          </w:tcPr>
          <w:p w14:paraId="792F1436" w14:textId="6B5E8687" w:rsidR="00B42380" w:rsidRPr="002F555F" w:rsidRDefault="00CC5396" w:rsidP="00344810">
            <w:pPr>
              <w:jc w:val="center"/>
            </w:pPr>
            <w:r w:rsidRPr="002F555F">
              <w:t>SCTS</w:t>
            </w:r>
          </w:p>
        </w:tc>
        <w:tc>
          <w:tcPr>
            <w:tcW w:w="1460" w:type="pct"/>
          </w:tcPr>
          <w:p w14:paraId="1E2766E9" w14:textId="77777777" w:rsidR="00B42380" w:rsidRPr="002F555F" w:rsidRDefault="00B42380" w:rsidP="00344810">
            <w:pPr>
              <w:jc w:val="center"/>
            </w:pPr>
            <w:r w:rsidRPr="002F555F">
              <w:t xml:space="preserve">SCTS </w:t>
            </w:r>
          </w:p>
        </w:tc>
      </w:tr>
    </w:tbl>
    <w:p w14:paraId="6DEBC671" w14:textId="77777777" w:rsidR="0012569D" w:rsidRPr="002F555F" w:rsidRDefault="0012569D" w:rsidP="0012569D"/>
    <w:tbl>
      <w:tblPr>
        <w:tblStyle w:val="TableGrid"/>
        <w:tblW w:w="4991" w:type="pct"/>
        <w:tblLook w:val="04A0" w:firstRow="1" w:lastRow="0" w:firstColumn="1" w:lastColumn="0" w:noHBand="0" w:noVBand="1"/>
        <w:tblCaption w:val="Implications for Districts: Early Adoption"/>
        <w:tblDescription w:val="• Before Transition year: evaluators and mentors trained, practice observations with SCTS&#10;• During Transition year: ensure evaluators and mentors are trained on SCTS, introduce induction teachers to SCTS, recognize administrators may be using two different evaluation instruments, involve veteran continuing contract teachers in peer observation on SCTS&#10;• During Implementation year 1: revise implementation plan to reflect lessons learned &#10;"/>
      </w:tblPr>
      <w:tblGrid>
        <w:gridCol w:w="1472"/>
        <w:gridCol w:w="8805"/>
      </w:tblGrid>
      <w:tr w:rsidR="0012569D" w:rsidRPr="002F555F" w14:paraId="66F18C9B" w14:textId="77777777" w:rsidTr="0058549F">
        <w:trPr>
          <w:tblHeader/>
        </w:trPr>
        <w:tc>
          <w:tcPr>
            <w:tcW w:w="716" w:type="pct"/>
            <w:shd w:val="clear" w:color="auto" w:fill="F2F2F2" w:themeFill="background1" w:themeFillShade="F2"/>
          </w:tcPr>
          <w:p w14:paraId="0928DE9B" w14:textId="77777777" w:rsidR="0012569D" w:rsidRPr="002F555F" w:rsidRDefault="0012569D" w:rsidP="00344810">
            <w:pPr>
              <w:jc w:val="center"/>
              <w:rPr>
                <w:b/>
              </w:rPr>
            </w:pPr>
            <w:r w:rsidRPr="002F555F">
              <w:rPr>
                <w:b/>
              </w:rPr>
              <w:t>Implications for Districts</w:t>
            </w:r>
          </w:p>
        </w:tc>
        <w:tc>
          <w:tcPr>
            <w:tcW w:w="4284" w:type="pct"/>
            <w:shd w:val="clear" w:color="auto" w:fill="F2F2F2" w:themeFill="background1" w:themeFillShade="F2"/>
          </w:tcPr>
          <w:p w14:paraId="7FF09607" w14:textId="77777777" w:rsidR="0012569D" w:rsidRPr="002F555F" w:rsidRDefault="0012569D" w:rsidP="00344810">
            <w:pPr>
              <w:pStyle w:val="ListParagraph"/>
              <w:numPr>
                <w:ilvl w:val="0"/>
                <w:numId w:val="16"/>
              </w:numPr>
            </w:pPr>
            <w:r w:rsidRPr="002F555F">
              <w:t>Before Transition year: evaluators and mentors trained, practice observations with SCTS</w:t>
            </w:r>
          </w:p>
          <w:p w14:paraId="4BB893D0" w14:textId="77777777" w:rsidR="0012569D" w:rsidRPr="002F555F" w:rsidRDefault="0012569D" w:rsidP="00344810">
            <w:pPr>
              <w:pStyle w:val="ListParagraph"/>
              <w:numPr>
                <w:ilvl w:val="0"/>
                <w:numId w:val="16"/>
              </w:numPr>
            </w:pPr>
            <w:r w:rsidRPr="002F555F">
              <w:t xml:space="preserve">During Transition year: ensure evaluators and mentors are </w:t>
            </w:r>
            <w:r>
              <w:t>trained</w:t>
            </w:r>
            <w:r w:rsidRPr="002F555F">
              <w:t xml:space="preserve"> on SCTS, introduce induction teachers to SCTS, recognize administrators may be using two different evaluation instruments, involve veteran continuing contract teachers in peer observation on SCTS</w:t>
            </w:r>
          </w:p>
          <w:p w14:paraId="030B636A" w14:textId="5864E94A" w:rsidR="0012569D" w:rsidRPr="002F555F" w:rsidRDefault="0012569D" w:rsidP="00344810">
            <w:pPr>
              <w:pStyle w:val="ListParagraph"/>
              <w:numPr>
                <w:ilvl w:val="0"/>
                <w:numId w:val="16"/>
              </w:numPr>
            </w:pPr>
            <w:r w:rsidRPr="002F555F">
              <w:t xml:space="preserve">During Implementation </w:t>
            </w:r>
            <w:r w:rsidR="00CC5396">
              <w:t xml:space="preserve">year </w:t>
            </w:r>
            <w:r w:rsidRPr="002F555F">
              <w:t xml:space="preserve">1: revise implementation plan to reflect lessons learned </w:t>
            </w:r>
          </w:p>
        </w:tc>
      </w:tr>
    </w:tbl>
    <w:p w14:paraId="5BAC11DE" w14:textId="77777777" w:rsidR="0012569D" w:rsidRPr="001F28F9" w:rsidRDefault="0012569D" w:rsidP="0012569D">
      <w:pPr>
        <w:pStyle w:val="Heading3"/>
      </w:pPr>
      <w:r w:rsidRPr="001F28F9">
        <w:t xml:space="preserve">Both Options </w:t>
      </w:r>
    </w:p>
    <w:tbl>
      <w:tblPr>
        <w:tblStyle w:val="TableGrid"/>
        <w:tblW w:w="4991" w:type="pct"/>
        <w:tblLook w:val="04A0" w:firstRow="1" w:lastRow="0" w:firstColumn="1" w:lastColumn="0" w:noHBand="0" w:noVBand="1"/>
        <w:tblCaption w:val="Implications for SCDE"/>
        <w:tblDescription w:val="• Continue to support SAFE-T &#10;• Revise ADEPT plan document to reflect districts’ plan for transition&#10;• Work with CERRA on aligning mentoring curriculum and guidance &#10;• Check-in with early adopters about implementation needs and lessons learned&#10;"/>
      </w:tblPr>
      <w:tblGrid>
        <w:gridCol w:w="1472"/>
        <w:gridCol w:w="8805"/>
      </w:tblGrid>
      <w:tr w:rsidR="0012569D" w:rsidRPr="002F555F" w14:paraId="2FD8B014" w14:textId="77777777" w:rsidTr="0058549F">
        <w:trPr>
          <w:tblHeader/>
        </w:trPr>
        <w:tc>
          <w:tcPr>
            <w:tcW w:w="716" w:type="pct"/>
            <w:shd w:val="clear" w:color="auto" w:fill="F2F2F2" w:themeFill="background1" w:themeFillShade="F2"/>
          </w:tcPr>
          <w:p w14:paraId="73365048" w14:textId="77777777" w:rsidR="0012569D" w:rsidRPr="002F555F" w:rsidRDefault="0012569D" w:rsidP="00344810">
            <w:pPr>
              <w:jc w:val="center"/>
              <w:rPr>
                <w:b/>
              </w:rPr>
            </w:pPr>
            <w:r w:rsidRPr="002F555F">
              <w:rPr>
                <w:b/>
              </w:rPr>
              <w:t>Implications for SCDE</w:t>
            </w:r>
          </w:p>
        </w:tc>
        <w:tc>
          <w:tcPr>
            <w:tcW w:w="4284" w:type="pct"/>
            <w:shd w:val="clear" w:color="auto" w:fill="F2F2F2" w:themeFill="background1" w:themeFillShade="F2"/>
          </w:tcPr>
          <w:p w14:paraId="05B2C3CF" w14:textId="3256B14C" w:rsidR="0012569D" w:rsidRPr="002F555F" w:rsidRDefault="0012569D" w:rsidP="00344810">
            <w:pPr>
              <w:pStyle w:val="ListParagraph"/>
              <w:numPr>
                <w:ilvl w:val="0"/>
                <w:numId w:val="15"/>
              </w:numPr>
            </w:pPr>
            <w:r w:rsidRPr="002F555F">
              <w:t xml:space="preserve">Continue to support SAFE-T </w:t>
            </w:r>
          </w:p>
          <w:p w14:paraId="685729C2" w14:textId="77777777" w:rsidR="0012569D" w:rsidRPr="002F555F" w:rsidRDefault="0012569D" w:rsidP="00344810">
            <w:pPr>
              <w:pStyle w:val="ListParagraph"/>
              <w:numPr>
                <w:ilvl w:val="0"/>
                <w:numId w:val="15"/>
              </w:numPr>
            </w:pPr>
            <w:r w:rsidRPr="002F555F">
              <w:t>Revise ADEPT plan document to reflect districts’ plan for transition</w:t>
            </w:r>
          </w:p>
          <w:p w14:paraId="72E9E625" w14:textId="77777777" w:rsidR="0012569D" w:rsidRPr="002F555F" w:rsidRDefault="0012569D" w:rsidP="00344810">
            <w:pPr>
              <w:pStyle w:val="ListParagraph"/>
              <w:numPr>
                <w:ilvl w:val="0"/>
                <w:numId w:val="15"/>
              </w:numPr>
            </w:pPr>
            <w:r w:rsidRPr="002F555F">
              <w:t xml:space="preserve">Work with CERRA on aligning mentoring curriculum and guidance </w:t>
            </w:r>
          </w:p>
          <w:p w14:paraId="122EFE26" w14:textId="77777777" w:rsidR="0012569D" w:rsidRPr="002F555F" w:rsidRDefault="0012569D" w:rsidP="00344810">
            <w:pPr>
              <w:pStyle w:val="ListParagraph"/>
              <w:numPr>
                <w:ilvl w:val="0"/>
                <w:numId w:val="15"/>
              </w:numPr>
            </w:pPr>
            <w:r w:rsidRPr="002F555F">
              <w:t>Check-in with early adopters about implementation needs and lessons learned</w:t>
            </w:r>
          </w:p>
        </w:tc>
      </w:tr>
    </w:tbl>
    <w:tbl>
      <w:tblPr>
        <w:tblStyle w:val="TableGrid"/>
        <w:tblpPr w:leftFromText="180" w:rightFromText="180" w:vertAnchor="page" w:horzAnchor="margin" w:tblpY="1291"/>
        <w:tblW w:w="5000" w:type="pct"/>
        <w:tblLook w:val="04A0" w:firstRow="1" w:lastRow="0" w:firstColumn="1" w:lastColumn="0" w:noHBand="0" w:noVBand="1"/>
        <w:tblCaption w:val="Implemetation Planning Questions, Vision and Action Steps"/>
        <w:tblDescription w:val="This table poses a series of questions aligned to system needs, evaluator needs, and teacher needs. "/>
      </w:tblPr>
      <w:tblGrid>
        <w:gridCol w:w="3527"/>
        <w:gridCol w:w="3338"/>
        <w:gridCol w:w="3431"/>
      </w:tblGrid>
      <w:tr w:rsidR="004A2CAF" w:rsidRPr="002F555F" w14:paraId="1C882A8C" w14:textId="77777777" w:rsidTr="0058549F">
        <w:trPr>
          <w:tblHeader/>
        </w:trPr>
        <w:tc>
          <w:tcPr>
            <w:tcW w:w="1713" w:type="pct"/>
            <w:shd w:val="clear" w:color="auto" w:fill="D9D9D9" w:themeFill="background1" w:themeFillShade="D9"/>
          </w:tcPr>
          <w:p w14:paraId="3F266369" w14:textId="77777777" w:rsidR="004A2CAF" w:rsidRPr="001F28F9" w:rsidRDefault="004A2CAF" w:rsidP="004A2CAF">
            <w:pPr>
              <w:pStyle w:val="Heading3"/>
            </w:pPr>
            <w:bookmarkStart w:id="0" w:name="_GoBack" w:colFirst="0" w:colLast="3"/>
            <w:r w:rsidRPr="001F28F9">
              <w:lastRenderedPageBreak/>
              <w:t xml:space="preserve">Implementation Area </w:t>
            </w:r>
          </w:p>
          <w:p w14:paraId="3EC083FE" w14:textId="77777777" w:rsidR="004A2CAF" w:rsidRPr="002F555F" w:rsidRDefault="004A2CAF" w:rsidP="004A2CAF">
            <w:pPr>
              <w:pStyle w:val="Heading3"/>
            </w:pPr>
            <w:r w:rsidRPr="001F28F9">
              <w:t>Planning Questions</w:t>
            </w:r>
            <w:r w:rsidRPr="002F555F">
              <w:t xml:space="preserve"> </w:t>
            </w:r>
          </w:p>
        </w:tc>
        <w:tc>
          <w:tcPr>
            <w:tcW w:w="1621" w:type="pct"/>
            <w:shd w:val="clear" w:color="auto" w:fill="D9D9D9" w:themeFill="background1" w:themeFillShade="D9"/>
          </w:tcPr>
          <w:p w14:paraId="7A9480BC" w14:textId="77777777" w:rsidR="004A2CAF" w:rsidRPr="001F28F9" w:rsidRDefault="004A2CAF" w:rsidP="004A2CAF">
            <w:pPr>
              <w:pStyle w:val="Heading3"/>
            </w:pPr>
            <w:r w:rsidRPr="001F28F9">
              <w:t>Vision for Implementation</w:t>
            </w:r>
          </w:p>
          <w:p w14:paraId="2E1BA7DB" w14:textId="77777777" w:rsidR="004A2CAF" w:rsidRPr="002F555F" w:rsidRDefault="004A2CAF" w:rsidP="004A2CAF">
            <w:pPr>
              <w:pStyle w:val="ListParagraph"/>
              <w:numPr>
                <w:ilvl w:val="0"/>
                <w:numId w:val="26"/>
              </w:numPr>
            </w:pPr>
            <w:r w:rsidRPr="002F555F">
              <w:t>What do we want to have in place for 2017–18?</w:t>
            </w:r>
          </w:p>
          <w:p w14:paraId="76034443" w14:textId="77777777" w:rsidR="004A2CAF" w:rsidRPr="002F555F" w:rsidRDefault="004A2CAF" w:rsidP="004A2CAF">
            <w:pPr>
              <w:pStyle w:val="ListParagraph"/>
              <w:numPr>
                <w:ilvl w:val="0"/>
                <w:numId w:val="26"/>
              </w:numPr>
            </w:pPr>
            <w:r w:rsidRPr="002F555F">
              <w:t xml:space="preserve">What can we start on now? </w:t>
            </w:r>
          </w:p>
        </w:tc>
        <w:tc>
          <w:tcPr>
            <w:tcW w:w="1666" w:type="pct"/>
            <w:shd w:val="clear" w:color="auto" w:fill="D9D9D9" w:themeFill="background1" w:themeFillShade="D9"/>
          </w:tcPr>
          <w:p w14:paraId="765EB805" w14:textId="77777777" w:rsidR="004A2CAF" w:rsidRPr="001F28F9" w:rsidRDefault="004A2CAF" w:rsidP="004A2CAF">
            <w:pPr>
              <w:pStyle w:val="Heading3"/>
            </w:pPr>
            <w:r w:rsidRPr="001F28F9">
              <w:t xml:space="preserve">Action Steps </w:t>
            </w:r>
          </w:p>
          <w:p w14:paraId="2AC6976C" w14:textId="77777777" w:rsidR="004A2CAF" w:rsidRPr="002F555F" w:rsidRDefault="004A2CAF" w:rsidP="004A2CAF">
            <w:pPr>
              <w:pStyle w:val="ListParagraph"/>
              <w:numPr>
                <w:ilvl w:val="0"/>
                <w:numId w:val="4"/>
              </w:numPr>
            </w:pPr>
            <w:r w:rsidRPr="002F555F">
              <w:t xml:space="preserve">What do you need to accomplish? By when? </w:t>
            </w:r>
          </w:p>
          <w:p w14:paraId="1FABCA9A" w14:textId="77777777" w:rsidR="004A2CAF" w:rsidRPr="002F555F" w:rsidRDefault="004A2CAF" w:rsidP="004A2CAF">
            <w:pPr>
              <w:pStyle w:val="ListParagraph"/>
              <w:numPr>
                <w:ilvl w:val="0"/>
                <w:numId w:val="4"/>
              </w:numPr>
              <w:rPr>
                <w:b/>
              </w:rPr>
            </w:pPr>
            <w:r w:rsidRPr="002F555F">
              <w:t>Who will be the lead?</w:t>
            </w:r>
            <w:r w:rsidRPr="002F555F">
              <w:rPr>
                <w:b/>
              </w:rPr>
              <w:t xml:space="preserve"> </w:t>
            </w:r>
            <w:r w:rsidRPr="002F555F">
              <w:t xml:space="preserve">Is there anyone else we will need to reach out to? </w:t>
            </w:r>
          </w:p>
        </w:tc>
      </w:tr>
      <w:tr w:rsidR="004A2CAF" w:rsidRPr="002F555F" w14:paraId="3D060308" w14:textId="77777777" w:rsidTr="004A2CAF">
        <w:tc>
          <w:tcPr>
            <w:tcW w:w="5000" w:type="pct"/>
            <w:gridSpan w:val="3"/>
            <w:shd w:val="clear" w:color="auto" w:fill="D9D9D9" w:themeFill="background1" w:themeFillShade="D9"/>
          </w:tcPr>
          <w:p w14:paraId="2ED503F8" w14:textId="77777777" w:rsidR="004A2CAF" w:rsidRPr="002F555F" w:rsidRDefault="004A2CAF" w:rsidP="004A2CAF">
            <w:pPr>
              <w:pStyle w:val="Heading3"/>
            </w:pPr>
            <w:r w:rsidRPr="002F555F">
              <w:t xml:space="preserve">System Support </w:t>
            </w:r>
          </w:p>
        </w:tc>
      </w:tr>
      <w:tr w:rsidR="004A2CAF" w:rsidRPr="002F555F" w14:paraId="67F00339" w14:textId="77777777" w:rsidTr="004A2CAF">
        <w:tc>
          <w:tcPr>
            <w:tcW w:w="1713" w:type="pct"/>
          </w:tcPr>
          <w:p w14:paraId="2AAF1DC1" w14:textId="77777777" w:rsidR="004A2CAF" w:rsidRPr="002F555F" w:rsidRDefault="004A2CAF" w:rsidP="004A2CAF">
            <w:r w:rsidRPr="002F555F">
              <w:t xml:space="preserve">How can our district foster a </w:t>
            </w:r>
            <w:r w:rsidRPr="002F555F">
              <w:rPr>
                <w:b/>
              </w:rPr>
              <w:t>culture that values professional growth and development</w:t>
            </w:r>
            <w:r w:rsidRPr="002F555F">
              <w:t xml:space="preserve">? </w:t>
            </w:r>
          </w:p>
          <w:p w14:paraId="1B153268" w14:textId="77777777" w:rsidR="004A2CAF" w:rsidRPr="002F555F" w:rsidRDefault="004A2CAF" w:rsidP="004A2CAF"/>
          <w:p w14:paraId="173B8997" w14:textId="77777777" w:rsidR="004A2CAF" w:rsidRPr="002F555F" w:rsidRDefault="004A2CAF" w:rsidP="004A2CAF">
            <w:r w:rsidRPr="002F555F">
              <w:t xml:space="preserve">How should SCTS rubric indicators </w:t>
            </w:r>
            <w:proofErr w:type="gramStart"/>
            <w:r w:rsidRPr="002F555F">
              <w:t>be</w:t>
            </w:r>
            <w:proofErr w:type="gramEnd"/>
            <w:r w:rsidRPr="002F555F">
              <w:t xml:space="preserve"> embedded in </w:t>
            </w:r>
            <w:r w:rsidRPr="002F555F">
              <w:rPr>
                <w:b/>
              </w:rPr>
              <w:t>future</w:t>
            </w:r>
            <w:r w:rsidRPr="002F555F">
              <w:t xml:space="preserve"> </w:t>
            </w:r>
            <w:r w:rsidRPr="002F555F">
              <w:rPr>
                <w:b/>
              </w:rPr>
              <w:t>teacher professional development</w:t>
            </w:r>
            <w:r w:rsidRPr="002F555F">
              <w:t xml:space="preserve"> (PD)?</w:t>
            </w:r>
          </w:p>
          <w:p w14:paraId="621A161C" w14:textId="77777777" w:rsidR="004A2CAF" w:rsidRPr="002F555F" w:rsidRDefault="004A2CAF" w:rsidP="004A2CAF">
            <w:pPr>
              <w:pStyle w:val="ListParagraph"/>
            </w:pPr>
          </w:p>
          <w:p w14:paraId="1DCF091D" w14:textId="77777777" w:rsidR="004A2CAF" w:rsidRPr="002F555F" w:rsidRDefault="004A2CAF" w:rsidP="004A2CAF">
            <w:r w:rsidRPr="002F555F">
              <w:t xml:space="preserve">What </w:t>
            </w:r>
            <w:r w:rsidRPr="002F555F">
              <w:rPr>
                <w:b/>
              </w:rPr>
              <w:t>opportunities do we have to communicate</w:t>
            </w:r>
            <w:r w:rsidRPr="002F555F">
              <w:t xml:space="preserve"> how the rubric supports teacher growth and the Profile of the SC Graduate? </w:t>
            </w:r>
          </w:p>
        </w:tc>
        <w:tc>
          <w:tcPr>
            <w:tcW w:w="1621" w:type="pct"/>
          </w:tcPr>
          <w:p w14:paraId="2A9D6851" w14:textId="77777777" w:rsidR="004A2CAF" w:rsidRPr="002F555F" w:rsidRDefault="004A2CAF" w:rsidP="004A2CAF">
            <w:pPr>
              <w:rPr>
                <w:b/>
              </w:rPr>
            </w:pPr>
          </w:p>
        </w:tc>
        <w:tc>
          <w:tcPr>
            <w:tcW w:w="1666" w:type="pct"/>
          </w:tcPr>
          <w:p w14:paraId="73B7A98A" w14:textId="77777777" w:rsidR="004A2CAF" w:rsidRPr="002F555F" w:rsidRDefault="004A2CAF" w:rsidP="004A2CAF">
            <w:pPr>
              <w:rPr>
                <w:b/>
              </w:rPr>
            </w:pPr>
          </w:p>
        </w:tc>
      </w:tr>
      <w:tr w:rsidR="004A2CAF" w:rsidRPr="002F555F" w14:paraId="2DA14AE8" w14:textId="77777777" w:rsidTr="004A2CAF">
        <w:tc>
          <w:tcPr>
            <w:tcW w:w="5000" w:type="pct"/>
            <w:gridSpan w:val="3"/>
            <w:shd w:val="clear" w:color="auto" w:fill="D9D9D9" w:themeFill="background1" w:themeFillShade="D9"/>
          </w:tcPr>
          <w:p w14:paraId="7DB897B7" w14:textId="77777777" w:rsidR="004A2CAF" w:rsidRPr="001F28F9" w:rsidRDefault="004A2CAF" w:rsidP="004A2CAF">
            <w:pPr>
              <w:pStyle w:val="Heading3"/>
            </w:pPr>
            <w:r w:rsidRPr="001F28F9">
              <w:t xml:space="preserve">Evaluator Support </w:t>
            </w:r>
          </w:p>
        </w:tc>
      </w:tr>
      <w:tr w:rsidR="004A2CAF" w:rsidRPr="002F555F" w14:paraId="7F8574A2" w14:textId="77777777" w:rsidTr="004A2CAF">
        <w:trPr>
          <w:trHeight w:val="1880"/>
        </w:trPr>
        <w:tc>
          <w:tcPr>
            <w:tcW w:w="1713" w:type="pct"/>
          </w:tcPr>
          <w:p w14:paraId="1FC370D6" w14:textId="77777777" w:rsidR="004A2CAF" w:rsidRPr="002F555F" w:rsidRDefault="004A2CAF" w:rsidP="004A2CAF">
            <w:r w:rsidRPr="002F555F">
              <w:t xml:space="preserve">How can </w:t>
            </w:r>
            <w:r w:rsidRPr="002F555F">
              <w:rPr>
                <w:b/>
              </w:rPr>
              <w:t xml:space="preserve">evaluators and coaches improve at key coaching skills, </w:t>
            </w:r>
            <w:r w:rsidRPr="002F555F">
              <w:t xml:space="preserve">including observation, scripting, and conferencing? </w:t>
            </w:r>
          </w:p>
          <w:p w14:paraId="27CC9151" w14:textId="77777777" w:rsidR="004A2CAF" w:rsidRPr="002F555F" w:rsidRDefault="004A2CAF" w:rsidP="004A2CAF">
            <w:pPr>
              <w:rPr>
                <w:b/>
              </w:rPr>
            </w:pPr>
          </w:p>
          <w:p w14:paraId="6DEFA684" w14:textId="77777777" w:rsidR="004A2CAF" w:rsidRPr="002F555F" w:rsidRDefault="004A2CAF" w:rsidP="004A2CAF">
            <w:pPr>
              <w:rPr>
                <w:b/>
              </w:rPr>
            </w:pPr>
            <w:r w:rsidRPr="002F555F">
              <w:t xml:space="preserve">How will our district </w:t>
            </w:r>
            <w:r w:rsidRPr="002F555F">
              <w:rPr>
                <w:b/>
              </w:rPr>
              <w:t xml:space="preserve">ensure inter-rater reliability (IRR) </w:t>
            </w:r>
            <w:r w:rsidRPr="002F555F">
              <w:t xml:space="preserve">for school evaluation teams? </w:t>
            </w:r>
          </w:p>
          <w:p w14:paraId="1DD40AD8" w14:textId="77777777" w:rsidR="004A2CAF" w:rsidRPr="002F555F" w:rsidRDefault="004A2CAF" w:rsidP="004A2CAF">
            <w:pPr>
              <w:rPr>
                <w:b/>
              </w:rPr>
            </w:pPr>
          </w:p>
          <w:p w14:paraId="6AB0C1BB" w14:textId="77777777" w:rsidR="004A2CAF" w:rsidRPr="002F555F" w:rsidRDefault="004A2CAF" w:rsidP="004A2CAF">
            <w:pPr>
              <w:rPr>
                <w:b/>
              </w:rPr>
            </w:pPr>
            <w:r w:rsidRPr="002F555F">
              <w:rPr>
                <w:b/>
              </w:rPr>
              <w:t>Who will need to be evaluator certified</w:t>
            </w:r>
            <w:r w:rsidRPr="002F555F">
              <w:t xml:space="preserve">? </w:t>
            </w:r>
            <w:r w:rsidRPr="002F555F">
              <w:rPr>
                <w:b/>
              </w:rPr>
              <w:t>When</w:t>
            </w:r>
            <w:r w:rsidRPr="002F555F">
              <w:t xml:space="preserve"> will they take the certification exam?  </w:t>
            </w:r>
          </w:p>
        </w:tc>
        <w:tc>
          <w:tcPr>
            <w:tcW w:w="1621" w:type="pct"/>
          </w:tcPr>
          <w:p w14:paraId="1A0504CB" w14:textId="77777777" w:rsidR="004A2CAF" w:rsidRPr="002F555F" w:rsidRDefault="004A2CAF" w:rsidP="004A2CAF">
            <w:pPr>
              <w:rPr>
                <w:b/>
              </w:rPr>
            </w:pPr>
          </w:p>
        </w:tc>
        <w:tc>
          <w:tcPr>
            <w:tcW w:w="1666" w:type="pct"/>
          </w:tcPr>
          <w:p w14:paraId="4D959BC3" w14:textId="77777777" w:rsidR="004A2CAF" w:rsidRPr="002F555F" w:rsidRDefault="004A2CAF" w:rsidP="004A2CAF">
            <w:pPr>
              <w:rPr>
                <w:b/>
              </w:rPr>
            </w:pPr>
          </w:p>
        </w:tc>
      </w:tr>
      <w:tr w:rsidR="004A2CAF" w:rsidRPr="002F555F" w14:paraId="31145AE8" w14:textId="77777777" w:rsidTr="004A2CAF">
        <w:tc>
          <w:tcPr>
            <w:tcW w:w="5000" w:type="pct"/>
            <w:gridSpan w:val="3"/>
            <w:shd w:val="clear" w:color="auto" w:fill="D9D9D9" w:themeFill="background1" w:themeFillShade="D9"/>
          </w:tcPr>
          <w:p w14:paraId="3DD8612A" w14:textId="77777777" w:rsidR="004A2CAF" w:rsidRPr="001F28F9" w:rsidRDefault="004A2CAF" w:rsidP="004A2CAF">
            <w:pPr>
              <w:pStyle w:val="Heading3"/>
            </w:pPr>
            <w:r w:rsidRPr="001F28F9">
              <w:t xml:space="preserve">Teacher Support </w:t>
            </w:r>
          </w:p>
        </w:tc>
      </w:tr>
      <w:tr w:rsidR="004A2CAF" w:rsidRPr="002F555F" w14:paraId="0453A0E6" w14:textId="77777777" w:rsidTr="004A2CAF">
        <w:tc>
          <w:tcPr>
            <w:tcW w:w="1713" w:type="pct"/>
          </w:tcPr>
          <w:p w14:paraId="74F0372B" w14:textId="77777777" w:rsidR="004A2CAF" w:rsidRPr="002F555F" w:rsidRDefault="004A2CAF" w:rsidP="004A2CAF">
            <w:r w:rsidRPr="002F555F">
              <w:t xml:space="preserve">What is the </w:t>
            </w:r>
            <w:r w:rsidRPr="002F555F">
              <w:rPr>
                <w:b/>
              </w:rPr>
              <w:t>timeline for introducing and orienting teachers</w:t>
            </w:r>
            <w:r w:rsidRPr="002F555F">
              <w:t xml:space="preserve"> to the SCTS and changes to the Expanded ADEPT process? </w:t>
            </w:r>
          </w:p>
          <w:p w14:paraId="3E815200" w14:textId="77777777" w:rsidR="004A2CAF" w:rsidRPr="002F555F" w:rsidRDefault="004A2CAF" w:rsidP="004A2CAF"/>
          <w:p w14:paraId="02339AB4" w14:textId="77777777" w:rsidR="004A2CAF" w:rsidRPr="002F555F" w:rsidRDefault="004A2CAF" w:rsidP="004A2CAF">
            <w:r w:rsidRPr="002F555F">
              <w:t xml:space="preserve">How can we use </w:t>
            </w:r>
            <w:r w:rsidRPr="002F555F">
              <w:rPr>
                <w:b/>
              </w:rPr>
              <w:t>existing structures</w:t>
            </w:r>
            <w:r w:rsidRPr="002F555F">
              <w:t xml:space="preserve"> </w:t>
            </w:r>
            <w:r w:rsidRPr="002F555F">
              <w:rPr>
                <w:b/>
              </w:rPr>
              <w:t xml:space="preserve">and resources </w:t>
            </w:r>
            <w:r w:rsidRPr="002F555F">
              <w:t xml:space="preserve">to ensure teachers get useful rubric related feedback? </w:t>
            </w:r>
            <w:proofErr w:type="gramStart"/>
            <w:r w:rsidRPr="002F555F">
              <w:t>Are</w:t>
            </w:r>
            <w:proofErr w:type="gramEnd"/>
            <w:r w:rsidRPr="002F555F">
              <w:t xml:space="preserve"> other </w:t>
            </w:r>
            <w:r w:rsidRPr="002F555F">
              <w:rPr>
                <w:b/>
              </w:rPr>
              <w:t xml:space="preserve">coaching structures </w:t>
            </w:r>
            <w:r w:rsidRPr="002F555F">
              <w:t xml:space="preserve">needed? </w:t>
            </w:r>
          </w:p>
          <w:p w14:paraId="10C2908F" w14:textId="77777777" w:rsidR="004A2CAF" w:rsidRPr="002F555F" w:rsidRDefault="004A2CAF" w:rsidP="004A2CAF"/>
          <w:p w14:paraId="13307507" w14:textId="77777777" w:rsidR="004A2CAF" w:rsidRPr="002F555F" w:rsidRDefault="004A2CAF" w:rsidP="004A2CAF">
            <w:r w:rsidRPr="002F555F">
              <w:t xml:space="preserve">How can </w:t>
            </w:r>
            <w:r w:rsidRPr="002F555F">
              <w:rPr>
                <w:b/>
              </w:rPr>
              <w:t xml:space="preserve">teachers </w:t>
            </w:r>
            <w:proofErr w:type="gramStart"/>
            <w:r w:rsidRPr="002F555F">
              <w:rPr>
                <w:b/>
              </w:rPr>
              <w:t>deepen  understanding</w:t>
            </w:r>
            <w:proofErr w:type="gramEnd"/>
            <w:r w:rsidRPr="002F555F">
              <w:rPr>
                <w:b/>
              </w:rPr>
              <w:t xml:space="preserve"> of SCTS</w:t>
            </w:r>
            <w:r w:rsidRPr="002F555F">
              <w:t xml:space="preserve"> so they are prepared to reflect</w:t>
            </w:r>
            <w:r>
              <w:t xml:space="preserve"> and set goals?</w:t>
            </w:r>
          </w:p>
        </w:tc>
        <w:tc>
          <w:tcPr>
            <w:tcW w:w="1621" w:type="pct"/>
          </w:tcPr>
          <w:p w14:paraId="45064511" w14:textId="77777777" w:rsidR="004A2CAF" w:rsidRPr="002F555F" w:rsidRDefault="004A2CAF" w:rsidP="004A2CAF">
            <w:pPr>
              <w:rPr>
                <w:b/>
              </w:rPr>
            </w:pPr>
          </w:p>
        </w:tc>
        <w:tc>
          <w:tcPr>
            <w:tcW w:w="1666" w:type="pct"/>
          </w:tcPr>
          <w:p w14:paraId="1C946782" w14:textId="77777777" w:rsidR="004A2CAF" w:rsidRPr="002F555F" w:rsidRDefault="004A2CAF" w:rsidP="004A2CAF">
            <w:pPr>
              <w:rPr>
                <w:b/>
              </w:rPr>
            </w:pPr>
          </w:p>
        </w:tc>
      </w:tr>
      <w:bookmarkEnd w:id="0"/>
    </w:tbl>
    <w:p w14:paraId="42DFFD16" w14:textId="6478887D" w:rsidR="004F6645" w:rsidRDefault="004F6645"/>
    <w:sectPr w:rsidR="004F6645" w:rsidSect="00256250">
      <w:headerReference w:type="default" r:id="rId14"/>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75F2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15F34" w14:textId="77777777" w:rsidR="00224376" w:rsidRDefault="00224376" w:rsidP="00FB6221">
      <w:r>
        <w:separator/>
      </w:r>
    </w:p>
  </w:endnote>
  <w:endnote w:type="continuationSeparator" w:id="0">
    <w:p w14:paraId="4BC3E26B" w14:textId="77777777" w:rsidR="00224376" w:rsidRDefault="00224376" w:rsidP="00FB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D1485" w14:textId="77777777" w:rsidR="00224376" w:rsidRDefault="00224376" w:rsidP="00FB6221">
      <w:r>
        <w:separator/>
      </w:r>
    </w:p>
  </w:footnote>
  <w:footnote w:type="continuationSeparator" w:id="0">
    <w:p w14:paraId="548990AC" w14:textId="77777777" w:rsidR="00224376" w:rsidRDefault="00224376" w:rsidP="00FB6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ADC88" w14:textId="211C57CC" w:rsidR="00FE66EE" w:rsidRDefault="00FC0FD7" w:rsidP="00FB6221">
    <w:pPr>
      <w:pStyle w:val="Heading2"/>
    </w:pPr>
    <w:bookmarkStart w:id="1" w:name="_South_Carolina_Teaching"/>
    <w:bookmarkEnd w:id="1"/>
    <w:r>
      <w:t xml:space="preserve">South Carolina Teaching Standards (SCTS) </w:t>
    </w:r>
    <w:r w:rsidR="00C57CAF">
      <w:t>Implementation Milestones</w:t>
    </w:r>
    <w:r w:rsidR="00513B6F" w:rsidRPr="00513B6F">
      <w:rPr>
        <w:b w:val="0"/>
        <w:bCs w:val="0"/>
        <w:noProof/>
      </w:rPr>
      <mc:AlternateContent>
        <mc:Choice Requires="wps">
          <w:drawing>
            <wp:anchor distT="0" distB="0" distL="114300" distR="114300" simplePos="0" relativeHeight="251659264" behindDoc="0" locked="0" layoutInCell="1" allowOverlap="1" wp14:anchorId="5760F39E" wp14:editId="3D6ECB51">
              <wp:simplePos x="0" y="0"/>
              <wp:positionH relativeFrom="column">
                <wp:posOffset>6305550</wp:posOffset>
              </wp:positionH>
              <wp:positionV relativeFrom="paragraph">
                <wp:posOffset>-95250</wp:posOffset>
              </wp:positionV>
              <wp:extent cx="361950" cy="3238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23850"/>
                      </a:xfrm>
                      <a:prstGeom prst="rect">
                        <a:avLst/>
                      </a:prstGeom>
                      <a:solidFill>
                        <a:srgbClr val="FFFFFF"/>
                      </a:solidFill>
                      <a:ln w="9525">
                        <a:solidFill>
                          <a:srgbClr val="000000"/>
                        </a:solidFill>
                        <a:miter lim="800000"/>
                        <a:headEnd/>
                        <a:tailEnd/>
                      </a:ln>
                    </wps:spPr>
                    <wps:txbx>
                      <w:txbxContent>
                        <w:p w14:paraId="03EA8EFA" w14:textId="77777777" w:rsidR="00513B6F" w:rsidRPr="00513B6F" w:rsidRDefault="00513B6F" w:rsidP="00513B6F">
                          <w:pPr>
                            <w:rPr>
                              <w:b/>
                              <w:sz w:val="28"/>
                              <w:szCs w:val="28"/>
                            </w:rPr>
                          </w:pPr>
                          <w:r w:rsidRPr="00513B6F">
                            <w:rPr>
                              <w:b/>
                              <w:sz w:val="28"/>
                              <w:szCs w:val="28"/>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6.5pt;margin-top:-7.5pt;width:2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">
              <v:textbox>
                <w:txbxContent>
                  <w:p w14:paraId="03EA8EFA" w14:textId="77777777" w:rsidR="00513B6F" w:rsidRPr="00513B6F" w:rsidRDefault="00513B6F" w:rsidP="00513B6F">
                    <w:pPr>
                      <w:rPr>
                        <w:b/>
                        <w:sz w:val="28"/>
                        <w:szCs w:val="28"/>
                      </w:rPr>
                    </w:pPr>
                    <w:r w:rsidRPr="00513B6F">
                      <w:rPr>
                        <w:b/>
                        <w:sz w:val="28"/>
                        <w:szCs w:val="28"/>
                      </w:rPr>
                      <w:t>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2AE"/>
    <w:multiLevelType w:val="hybridMultilevel"/>
    <w:tmpl w:val="988254B6"/>
    <w:lvl w:ilvl="0" w:tplc="4D0AC7FA">
      <w:start w:val="1"/>
      <w:numFmt w:val="bullet"/>
      <w:lvlText w:val="•"/>
      <w:lvlJc w:val="left"/>
      <w:pPr>
        <w:tabs>
          <w:tab w:val="num" w:pos="1080"/>
        </w:tabs>
        <w:ind w:left="1080" w:hanging="360"/>
      </w:pPr>
      <w:rPr>
        <w:rFonts w:ascii="Arial" w:hAnsi="Arial" w:hint="default"/>
      </w:rPr>
    </w:lvl>
    <w:lvl w:ilvl="1" w:tplc="5498C18C" w:tentative="1">
      <w:start w:val="1"/>
      <w:numFmt w:val="bullet"/>
      <w:lvlText w:val="•"/>
      <w:lvlJc w:val="left"/>
      <w:pPr>
        <w:tabs>
          <w:tab w:val="num" w:pos="1800"/>
        </w:tabs>
        <w:ind w:left="1800" w:hanging="360"/>
      </w:pPr>
      <w:rPr>
        <w:rFonts w:ascii="Arial" w:hAnsi="Arial" w:hint="default"/>
      </w:rPr>
    </w:lvl>
    <w:lvl w:ilvl="2" w:tplc="9D7AE0E8" w:tentative="1">
      <w:start w:val="1"/>
      <w:numFmt w:val="bullet"/>
      <w:lvlText w:val="•"/>
      <w:lvlJc w:val="left"/>
      <w:pPr>
        <w:tabs>
          <w:tab w:val="num" w:pos="2520"/>
        </w:tabs>
        <w:ind w:left="2520" w:hanging="360"/>
      </w:pPr>
      <w:rPr>
        <w:rFonts w:ascii="Arial" w:hAnsi="Arial" w:hint="default"/>
      </w:rPr>
    </w:lvl>
    <w:lvl w:ilvl="3" w:tplc="E40AFA2E" w:tentative="1">
      <w:start w:val="1"/>
      <w:numFmt w:val="bullet"/>
      <w:lvlText w:val="•"/>
      <w:lvlJc w:val="left"/>
      <w:pPr>
        <w:tabs>
          <w:tab w:val="num" w:pos="3240"/>
        </w:tabs>
        <w:ind w:left="3240" w:hanging="360"/>
      </w:pPr>
      <w:rPr>
        <w:rFonts w:ascii="Arial" w:hAnsi="Arial" w:hint="default"/>
      </w:rPr>
    </w:lvl>
    <w:lvl w:ilvl="4" w:tplc="46AED176" w:tentative="1">
      <w:start w:val="1"/>
      <w:numFmt w:val="bullet"/>
      <w:lvlText w:val="•"/>
      <w:lvlJc w:val="left"/>
      <w:pPr>
        <w:tabs>
          <w:tab w:val="num" w:pos="3960"/>
        </w:tabs>
        <w:ind w:left="3960" w:hanging="360"/>
      </w:pPr>
      <w:rPr>
        <w:rFonts w:ascii="Arial" w:hAnsi="Arial" w:hint="default"/>
      </w:rPr>
    </w:lvl>
    <w:lvl w:ilvl="5" w:tplc="3D6EF13C" w:tentative="1">
      <w:start w:val="1"/>
      <w:numFmt w:val="bullet"/>
      <w:lvlText w:val="•"/>
      <w:lvlJc w:val="left"/>
      <w:pPr>
        <w:tabs>
          <w:tab w:val="num" w:pos="4680"/>
        </w:tabs>
        <w:ind w:left="4680" w:hanging="360"/>
      </w:pPr>
      <w:rPr>
        <w:rFonts w:ascii="Arial" w:hAnsi="Arial" w:hint="default"/>
      </w:rPr>
    </w:lvl>
    <w:lvl w:ilvl="6" w:tplc="4146A4EE" w:tentative="1">
      <w:start w:val="1"/>
      <w:numFmt w:val="bullet"/>
      <w:lvlText w:val="•"/>
      <w:lvlJc w:val="left"/>
      <w:pPr>
        <w:tabs>
          <w:tab w:val="num" w:pos="5400"/>
        </w:tabs>
        <w:ind w:left="5400" w:hanging="360"/>
      </w:pPr>
      <w:rPr>
        <w:rFonts w:ascii="Arial" w:hAnsi="Arial" w:hint="default"/>
      </w:rPr>
    </w:lvl>
    <w:lvl w:ilvl="7" w:tplc="EA404556" w:tentative="1">
      <w:start w:val="1"/>
      <w:numFmt w:val="bullet"/>
      <w:lvlText w:val="•"/>
      <w:lvlJc w:val="left"/>
      <w:pPr>
        <w:tabs>
          <w:tab w:val="num" w:pos="6120"/>
        </w:tabs>
        <w:ind w:left="6120" w:hanging="360"/>
      </w:pPr>
      <w:rPr>
        <w:rFonts w:ascii="Arial" w:hAnsi="Arial" w:hint="default"/>
      </w:rPr>
    </w:lvl>
    <w:lvl w:ilvl="8" w:tplc="5F4C51B2" w:tentative="1">
      <w:start w:val="1"/>
      <w:numFmt w:val="bullet"/>
      <w:lvlText w:val="•"/>
      <w:lvlJc w:val="left"/>
      <w:pPr>
        <w:tabs>
          <w:tab w:val="num" w:pos="6840"/>
        </w:tabs>
        <w:ind w:left="6840" w:hanging="360"/>
      </w:pPr>
      <w:rPr>
        <w:rFonts w:ascii="Arial" w:hAnsi="Arial" w:hint="default"/>
      </w:rPr>
    </w:lvl>
  </w:abstractNum>
  <w:abstractNum w:abstractNumId="1">
    <w:nsid w:val="091354F8"/>
    <w:multiLevelType w:val="hybridMultilevel"/>
    <w:tmpl w:val="366E8BCE"/>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C310A4"/>
    <w:multiLevelType w:val="hybridMultilevel"/>
    <w:tmpl w:val="38CC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107E5"/>
    <w:multiLevelType w:val="hybridMultilevel"/>
    <w:tmpl w:val="1422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B6D36"/>
    <w:multiLevelType w:val="hybridMultilevel"/>
    <w:tmpl w:val="1B060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3A50F7"/>
    <w:multiLevelType w:val="hybridMultilevel"/>
    <w:tmpl w:val="CA9E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31384"/>
    <w:multiLevelType w:val="hybridMultilevel"/>
    <w:tmpl w:val="295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F246C"/>
    <w:multiLevelType w:val="hybridMultilevel"/>
    <w:tmpl w:val="9B7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D6BBF"/>
    <w:multiLevelType w:val="hybridMultilevel"/>
    <w:tmpl w:val="8F4E4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8D365D"/>
    <w:multiLevelType w:val="hybridMultilevel"/>
    <w:tmpl w:val="7CD47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C77BA3"/>
    <w:multiLevelType w:val="hybridMultilevel"/>
    <w:tmpl w:val="E9D63F1C"/>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DD2C50"/>
    <w:multiLevelType w:val="hybridMultilevel"/>
    <w:tmpl w:val="18CEFB02"/>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DE287B"/>
    <w:multiLevelType w:val="hybridMultilevel"/>
    <w:tmpl w:val="C570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7B2908"/>
    <w:multiLevelType w:val="hybridMultilevel"/>
    <w:tmpl w:val="9F7E4D1C"/>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6171BD"/>
    <w:multiLevelType w:val="hybridMultilevel"/>
    <w:tmpl w:val="3BCC9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416A70"/>
    <w:multiLevelType w:val="hybridMultilevel"/>
    <w:tmpl w:val="4D48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C55071"/>
    <w:multiLevelType w:val="hybridMultilevel"/>
    <w:tmpl w:val="8EA036C2"/>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92254F"/>
    <w:multiLevelType w:val="hybridMultilevel"/>
    <w:tmpl w:val="F3209C52"/>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325C02"/>
    <w:multiLevelType w:val="hybridMultilevel"/>
    <w:tmpl w:val="E5EA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23116C"/>
    <w:multiLevelType w:val="hybridMultilevel"/>
    <w:tmpl w:val="22021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110BB7"/>
    <w:multiLevelType w:val="hybridMultilevel"/>
    <w:tmpl w:val="3E9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0930B4"/>
    <w:multiLevelType w:val="hybridMultilevel"/>
    <w:tmpl w:val="425A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8E17AD"/>
    <w:multiLevelType w:val="hybridMultilevel"/>
    <w:tmpl w:val="1E72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C5C5D93"/>
    <w:multiLevelType w:val="hybridMultilevel"/>
    <w:tmpl w:val="1794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7516AE"/>
    <w:multiLevelType w:val="hybridMultilevel"/>
    <w:tmpl w:val="8A242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7E027CB"/>
    <w:multiLevelType w:val="hybridMultilevel"/>
    <w:tmpl w:val="98E27D4E"/>
    <w:lvl w:ilvl="0" w:tplc="98AC74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D14AF1"/>
    <w:multiLevelType w:val="hybridMultilevel"/>
    <w:tmpl w:val="27600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A7F306A"/>
    <w:multiLevelType w:val="hybridMultilevel"/>
    <w:tmpl w:val="9D60D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2ED232D"/>
    <w:multiLevelType w:val="hybridMultilevel"/>
    <w:tmpl w:val="560C8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D6E09A3"/>
    <w:multiLevelType w:val="hybridMultilevel"/>
    <w:tmpl w:val="E9F03C0E"/>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8F673BE"/>
    <w:multiLevelType w:val="hybridMultilevel"/>
    <w:tmpl w:val="0CB01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3001DF"/>
    <w:multiLevelType w:val="hybridMultilevel"/>
    <w:tmpl w:val="9C226CC6"/>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E796782"/>
    <w:multiLevelType w:val="hybridMultilevel"/>
    <w:tmpl w:val="C85E6D8A"/>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C54C70"/>
    <w:multiLevelType w:val="hybridMultilevel"/>
    <w:tmpl w:val="F924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521137"/>
    <w:multiLevelType w:val="hybridMultilevel"/>
    <w:tmpl w:val="BF4AF15C"/>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5D256D9"/>
    <w:multiLevelType w:val="hybridMultilevel"/>
    <w:tmpl w:val="12F215B2"/>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DCB1838"/>
    <w:multiLevelType w:val="hybridMultilevel"/>
    <w:tmpl w:val="8506C54A"/>
    <w:lvl w:ilvl="0" w:tplc="98AC74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0"/>
  </w:num>
  <w:num w:numId="3">
    <w:abstractNumId w:val="18"/>
  </w:num>
  <w:num w:numId="4">
    <w:abstractNumId w:val="24"/>
  </w:num>
  <w:num w:numId="5">
    <w:abstractNumId w:val="15"/>
  </w:num>
  <w:num w:numId="6">
    <w:abstractNumId w:val="5"/>
  </w:num>
  <w:num w:numId="7">
    <w:abstractNumId w:val="7"/>
  </w:num>
  <w:num w:numId="8">
    <w:abstractNumId w:val="6"/>
  </w:num>
  <w:num w:numId="9">
    <w:abstractNumId w:val="34"/>
  </w:num>
  <w:num w:numId="10">
    <w:abstractNumId w:val="12"/>
  </w:num>
  <w:num w:numId="11">
    <w:abstractNumId w:val="16"/>
  </w:num>
  <w:num w:numId="12">
    <w:abstractNumId w:val="21"/>
  </w:num>
  <w:num w:numId="13">
    <w:abstractNumId w:val="23"/>
  </w:num>
  <w:num w:numId="14">
    <w:abstractNumId w:val="30"/>
  </w:num>
  <w:num w:numId="15">
    <w:abstractNumId w:val="19"/>
  </w:num>
  <w:num w:numId="16">
    <w:abstractNumId w:val="9"/>
  </w:num>
  <w:num w:numId="17">
    <w:abstractNumId w:val="4"/>
  </w:num>
  <w:num w:numId="18">
    <w:abstractNumId w:val="8"/>
  </w:num>
  <w:num w:numId="19">
    <w:abstractNumId w:val="22"/>
  </w:num>
  <w:num w:numId="20">
    <w:abstractNumId w:val="11"/>
  </w:num>
  <w:num w:numId="21">
    <w:abstractNumId w:val="32"/>
  </w:num>
  <w:num w:numId="22">
    <w:abstractNumId w:val="35"/>
  </w:num>
  <w:num w:numId="23">
    <w:abstractNumId w:val="13"/>
  </w:num>
  <w:num w:numId="24">
    <w:abstractNumId w:val="36"/>
  </w:num>
  <w:num w:numId="25">
    <w:abstractNumId w:val="10"/>
  </w:num>
  <w:num w:numId="26">
    <w:abstractNumId w:val="28"/>
  </w:num>
  <w:num w:numId="27">
    <w:abstractNumId w:val="17"/>
  </w:num>
  <w:num w:numId="28">
    <w:abstractNumId w:val="27"/>
  </w:num>
  <w:num w:numId="29">
    <w:abstractNumId w:val="25"/>
  </w:num>
  <w:num w:numId="30">
    <w:abstractNumId w:val="26"/>
  </w:num>
  <w:num w:numId="31">
    <w:abstractNumId w:val="0"/>
  </w:num>
  <w:num w:numId="32">
    <w:abstractNumId w:val="33"/>
  </w:num>
  <w:num w:numId="33">
    <w:abstractNumId w:val="2"/>
  </w:num>
  <w:num w:numId="34">
    <w:abstractNumId w:val="31"/>
  </w:num>
  <w:num w:numId="35">
    <w:abstractNumId w:val="29"/>
  </w:num>
  <w:num w:numId="36">
    <w:abstractNumId w:val="1"/>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lla Toal Mandsager">
    <w15:presenceInfo w15:providerId="None" w15:userId="Lilla Toal Mandsa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80"/>
    <w:rsid w:val="00000A57"/>
    <w:rsid w:val="00005AD2"/>
    <w:rsid w:val="00076B14"/>
    <w:rsid w:val="000A1545"/>
    <w:rsid w:val="000B7445"/>
    <w:rsid w:val="00105219"/>
    <w:rsid w:val="0012569D"/>
    <w:rsid w:val="001911A0"/>
    <w:rsid w:val="001D1AEB"/>
    <w:rsid w:val="001F28F9"/>
    <w:rsid w:val="001F5761"/>
    <w:rsid w:val="00224376"/>
    <w:rsid w:val="0023250D"/>
    <w:rsid w:val="00256250"/>
    <w:rsid w:val="00256A9A"/>
    <w:rsid w:val="00265281"/>
    <w:rsid w:val="00274F84"/>
    <w:rsid w:val="002B1769"/>
    <w:rsid w:val="002C2180"/>
    <w:rsid w:val="002C7AF6"/>
    <w:rsid w:val="002D4E0C"/>
    <w:rsid w:val="002F555F"/>
    <w:rsid w:val="002F7B6F"/>
    <w:rsid w:val="00346C59"/>
    <w:rsid w:val="003649BB"/>
    <w:rsid w:val="00385E9D"/>
    <w:rsid w:val="0039447B"/>
    <w:rsid w:val="003B212B"/>
    <w:rsid w:val="00412770"/>
    <w:rsid w:val="0042555E"/>
    <w:rsid w:val="004276A5"/>
    <w:rsid w:val="004415D0"/>
    <w:rsid w:val="00457362"/>
    <w:rsid w:val="00466687"/>
    <w:rsid w:val="004872DA"/>
    <w:rsid w:val="004A2CAF"/>
    <w:rsid w:val="004C07AD"/>
    <w:rsid w:val="004F6645"/>
    <w:rsid w:val="00513B6F"/>
    <w:rsid w:val="0058549F"/>
    <w:rsid w:val="005A48E7"/>
    <w:rsid w:val="005B5EB6"/>
    <w:rsid w:val="005B6C22"/>
    <w:rsid w:val="00611918"/>
    <w:rsid w:val="00612EAC"/>
    <w:rsid w:val="0062485C"/>
    <w:rsid w:val="006366E6"/>
    <w:rsid w:val="00681727"/>
    <w:rsid w:val="006B636F"/>
    <w:rsid w:val="006D25FF"/>
    <w:rsid w:val="007106AC"/>
    <w:rsid w:val="007B5B18"/>
    <w:rsid w:val="00811055"/>
    <w:rsid w:val="00856853"/>
    <w:rsid w:val="008D2464"/>
    <w:rsid w:val="00942019"/>
    <w:rsid w:val="00945745"/>
    <w:rsid w:val="009946E7"/>
    <w:rsid w:val="00A51A56"/>
    <w:rsid w:val="00B24454"/>
    <w:rsid w:val="00B42380"/>
    <w:rsid w:val="00B4687C"/>
    <w:rsid w:val="00B50403"/>
    <w:rsid w:val="00B7199A"/>
    <w:rsid w:val="00B73833"/>
    <w:rsid w:val="00B77CC2"/>
    <w:rsid w:val="00C3602F"/>
    <w:rsid w:val="00C57CAF"/>
    <w:rsid w:val="00C860E9"/>
    <w:rsid w:val="00C96CED"/>
    <w:rsid w:val="00CA33FE"/>
    <w:rsid w:val="00CB6438"/>
    <w:rsid w:val="00CB699B"/>
    <w:rsid w:val="00CC332C"/>
    <w:rsid w:val="00CC5396"/>
    <w:rsid w:val="00CD5204"/>
    <w:rsid w:val="00D17EAB"/>
    <w:rsid w:val="00D26E18"/>
    <w:rsid w:val="00D63E11"/>
    <w:rsid w:val="00D7688B"/>
    <w:rsid w:val="00DB3DA5"/>
    <w:rsid w:val="00DD7C07"/>
    <w:rsid w:val="00E21F26"/>
    <w:rsid w:val="00E30785"/>
    <w:rsid w:val="00EC518B"/>
    <w:rsid w:val="00EE1B1E"/>
    <w:rsid w:val="00FA78F6"/>
    <w:rsid w:val="00FB3C3F"/>
    <w:rsid w:val="00FB6221"/>
    <w:rsid w:val="00FC0FD7"/>
    <w:rsid w:val="00FC77FA"/>
    <w:rsid w:val="00FE5EE0"/>
    <w:rsid w:val="00FE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33FE"/>
    <w:pPr>
      <w:keepNext/>
      <w:keepLines/>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unhideWhenUsed/>
    <w:qFormat/>
    <w:rsid w:val="00CA33FE"/>
    <w:pPr>
      <w:keepNext/>
      <w:keepLines/>
      <w:outlineLvl w:val="2"/>
    </w:pPr>
    <w:rPr>
      <w:rFonts w:asciiTheme="majorHAnsi" w:eastAsiaTheme="majorEastAsia" w:hAnsiTheme="majorHAnsi" w:cstheme="majorBidi"/>
      <w:b/>
      <w:bCs/>
      <w:color w:val="63891F"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180"/>
    <w:pPr>
      <w:ind w:left="720"/>
      <w:contextualSpacing/>
    </w:pPr>
  </w:style>
  <w:style w:type="character" w:styleId="CommentReference">
    <w:name w:val="annotation reference"/>
    <w:basedOn w:val="DefaultParagraphFont"/>
    <w:uiPriority w:val="99"/>
    <w:semiHidden/>
    <w:unhideWhenUsed/>
    <w:rsid w:val="00B7199A"/>
    <w:rPr>
      <w:sz w:val="16"/>
      <w:szCs w:val="16"/>
    </w:rPr>
  </w:style>
  <w:style w:type="paragraph" w:styleId="CommentText">
    <w:name w:val="annotation text"/>
    <w:basedOn w:val="Normal"/>
    <w:link w:val="CommentTextChar"/>
    <w:uiPriority w:val="99"/>
    <w:unhideWhenUsed/>
    <w:rsid w:val="00B7199A"/>
    <w:rPr>
      <w:sz w:val="20"/>
      <w:szCs w:val="20"/>
    </w:rPr>
  </w:style>
  <w:style w:type="character" w:customStyle="1" w:styleId="CommentTextChar">
    <w:name w:val="Comment Text Char"/>
    <w:basedOn w:val="DefaultParagraphFont"/>
    <w:link w:val="CommentText"/>
    <w:uiPriority w:val="99"/>
    <w:rsid w:val="00B7199A"/>
    <w:rPr>
      <w:sz w:val="20"/>
      <w:szCs w:val="20"/>
    </w:rPr>
  </w:style>
  <w:style w:type="paragraph" w:styleId="CommentSubject">
    <w:name w:val="annotation subject"/>
    <w:basedOn w:val="CommentText"/>
    <w:next w:val="CommentText"/>
    <w:link w:val="CommentSubjectChar"/>
    <w:uiPriority w:val="99"/>
    <w:semiHidden/>
    <w:unhideWhenUsed/>
    <w:rsid w:val="00B7199A"/>
    <w:rPr>
      <w:b/>
      <w:bCs/>
    </w:rPr>
  </w:style>
  <w:style w:type="character" w:customStyle="1" w:styleId="CommentSubjectChar">
    <w:name w:val="Comment Subject Char"/>
    <w:basedOn w:val="CommentTextChar"/>
    <w:link w:val="CommentSubject"/>
    <w:uiPriority w:val="99"/>
    <w:semiHidden/>
    <w:rsid w:val="00B7199A"/>
    <w:rPr>
      <w:b/>
      <w:bCs/>
      <w:sz w:val="20"/>
      <w:szCs w:val="20"/>
    </w:rPr>
  </w:style>
  <w:style w:type="paragraph" w:styleId="BalloonText">
    <w:name w:val="Balloon Text"/>
    <w:basedOn w:val="Normal"/>
    <w:link w:val="BalloonTextChar"/>
    <w:uiPriority w:val="99"/>
    <w:semiHidden/>
    <w:unhideWhenUsed/>
    <w:rsid w:val="00B7199A"/>
    <w:rPr>
      <w:rFonts w:ascii="Tahoma" w:hAnsi="Tahoma" w:cs="Tahoma"/>
      <w:sz w:val="16"/>
      <w:szCs w:val="16"/>
    </w:rPr>
  </w:style>
  <w:style w:type="character" w:customStyle="1" w:styleId="BalloonTextChar">
    <w:name w:val="Balloon Text Char"/>
    <w:basedOn w:val="DefaultParagraphFont"/>
    <w:link w:val="BalloonText"/>
    <w:uiPriority w:val="99"/>
    <w:semiHidden/>
    <w:rsid w:val="00B7199A"/>
    <w:rPr>
      <w:rFonts w:ascii="Tahoma" w:hAnsi="Tahoma" w:cs="Tahoma"/>
      <w:sz w:val="16"/>
      <w:szCs w:val="16"/>
    </w:rPr>
  </w:style>
  <w:style w:type="character" w:customStyle="1" w:styleId="Heading2Char">
    <w:name w:val="Heading 2 Char"/>
    <w:basedOn w:val="DefaultParagraphFont"/>
    <w:link w:val="Heading2"/>
    <w:uiPriority w:val="9"/>
    <w:rsid w:val="00CA33FE"/>
    <w:rPr>
      <w:rFonts w:asciiTheme="majorHAnsi" w:eastAsiaTheme="majorEastAsia" w:hAnsiTheme="majorHAnsi" w:cstheme="majorBidi"/>
      <w:b/>
      <w:bCs/>
      <w:color w:val="6076B4" w:themeColor="accent1"/>
      <w:sz w:val="26"/>
      <w:szCs w:val="26"/>
    </w:rPr>
  </w:style>
  <w:style w:type="character" w:customStyle="1" w:styleId="Heading3Char">
    <w:name w:val="Heading 3 Char"/>
    <w:basedOn w:val="DefaultParagraphFont"/>
    <w:link w:val="Heading3"/>
    <w:uiPriority w:val="9"/>
    <w:rsid w:val="00CA33FE"/>
    <w:rPr>
      <w:rFonts w:asciiTheme="majorHAnsi" w:eastAsiaTheme="majorEastAsia" w:hAnsiTheme="majorHAnsi" w:cstheme="majorBidi"/>
      <w:b/>
      <w:bCs/>
      <w:color w:val="63891F" w:themeColor="accent5"/>
    </w:rPr>
  </w:style>
  <w:style w:type="paragraph" w:styleId="Header">
    <w:name w:val="header"/>
    <w:basedOn w:val="Normal"/>
    <w:link w:val="HeaderChar"/>
    <w:uiPriority w:val="99"/>
    <w:unhideWhenUsed/>
    <w:rsid w:val="00FB6221"/>
    <w:pPr>
      <w:tabs>
        <w:tab w:val="center" w:pos="4680"/>
        <w:tab w:val="right" w:pos="9360"/>
      </w:tabs>
    </w:pPr>
  </w:style>
  <w:style w:type="character" w:customStyle="1" w:styleId="HeaderChar">
    <w:name w:val="Header Char"/>
    <w:basedOn w:val="DefaultParagraphFont"/>
    <w:link w:val="Header"/>
    <w:uiPriority w:val="99"/>
    <w:rsid w:val="00FB6221"/>
  </w:style>
  <w:style w:type="paragraph" w:styleId="Footer">
    <w:name w:val="footer"/>
    <w:basedOn w:val="Normal"/>
    <w:link w:val="FooterChar"/>
    <w:uiPriority w:val="99"/>
    <w:unhideWhenUsed/>
    <w:rsid w:val="00FB6221"/>
    <w:pPr>
      <w:tabs>
        <w:tab w:val="center" w:pos="4680"/>
        <w:tab w:val="right" w:pos="9360"/>
      </w:tabs>
    </w:pPr>
  </w:style>
  <w:style w:type="character" w:customStyle="1" w:styleId="FooterChar">
    <w:name w:val="Footer Char"/>
    <w:basedOn w:val="DefaultParagraphFont"/>
    <w:link w:val="Footer"/>
    <w:uiPriority w:val="99"/>
    <w:rsid w:val="00FB6221"/>
  </w:style>
  <w:style w:type="paragraph" w:styleId="NormalWeb">
    <w:name w:val="Normal (Web)"/>
    <w:basedOn w:val="Normal"/>
    <w:uiPriority w:val="99"/>
    <w:semiHidden/>
    <w:unhideWhenUsed/>
    <w:rsid w:val="00B2445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7B6F"/>
    <w:rPr>
      <w:color w:val="3399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33FE"/>
    <w:pPr>
      <w:keepNext/>
      <w:keepLines/>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unhideWhenUsed/>
    <w:qFormat/>
    <w:rsid w:val="00CA33FE"/>
    <w:pPr>
      <w:keepNext/>
      <w:keepLines/>
      <w:outlineLvl w:val="2"/>
    </w:pPr>
    <w:rPr>
      <w:rFonts w:asciiTheme="majorHAnsi" w:eastAsiaTheme="majorEastAsia" w:hAnsiTheme="majorHAnsi" w:cstheme="majorBidi"/>
      <w:b/>
      <w:bCs/>
      <w:color w:val="63891F"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180"/>
    <w:pPr>
      <w:ind w:left="720"/>
      <w:contextualSpacing/>
    </w:pPr>
  </w:style>
  <w:style w:type="character" w:styleId="CommentReference">
    <w:name w:val="annotation reference"/>
    <w:basedOn w:val="DefaultParagraphFont"/>
    <w:uiPriority w:val="99"/>
    <w:semiHidden/>
    <w:unhideWhenUsed/>
    <w:rsid w:val="00B7199A"/>
    <w:rPr>
      <w:sz w:val="16"/>
      <w:szCs w:val="16"/>
    </w:rPr>
  </w:style>
  <w:style w:type="paragraph" w:styleId="CommentText">
    <w:name w:val="annotation text"/>
    <w:basedOn w:val="Normal"/>
    <w:link w:val="CommentTextChar"/>
    <w:uiPriority w:val="99"/>
    <w:unhideWhenUsed/>
    <w:rsid w:val="00B7199A"/>
    <w:rPr>
      <w:sz w:val="20"/>
      <w:szCs w:val="20"/>
    </w:rPr>
  </w:style>
  <w:style w:type="character" w:customStyle="1" w:styleId="CommentTextChar">
    <w:name w:val="Comment Text Char"/>
    <w:basedOn w:val="DefaultParagraphFont"/>
    <w:link w:val="CommentText"/>
    <w:uiPriority w:val="99"/>
    <w:rsid w:val="00B7199A"/>
    <w:rPr>
      <w:sz w:val="20"/>
      <w:szCs w:val="20"/>
    </w:rPr>
  </w:style>
  <w:style w:type="paragraph" w:styleId="CommentSubject">
    <w:name w:val="annotation subject"/>
    <w:basedOn w:val="CommentText"/>
    <w:next w:val="CommentText"/>
    <w:link w:val="CommentSubjectChar"/>
    <w:uiPriority w:val="99"/>
    <w:semiHidden/>
    <w:unhideWhenUsed/>
    <w:rsid w:val="00B7199A"/>
    <w:rPr>
      <w:b/>
      <w:bCs/>
    </w:rPr>
  </w:style>
  <w:style w:type="character" w:customStyle="1" w:styleId="CommentSubjectChar">
    <w:name w:val="Comment Subject Char"/>
    <w:basedOn w:val="CommentTextChar"/>
    <w:link w:val="CommentSubject"/>
    <w:uiPriority w:val="99"/>
    <w:semiHidden/>
    <w:rsid w:val="00B7199A"/>
    <w:rPr>
      <w:b/>
      <w:bCs/>
      <w:sz w:val="20"/>
      <w:szCs w:val="20"/>
    </w:rPr>
  </w:style>
  <w:style w:type="paragraph" w:styleId="BalloonText">
    <w:name w:val="Balloon Text"/>
    <w:basedOn w:val="Normal"/>
    <w:link w:val="BalloonTextChar"/>
    <w:uiPriority w:val="99"/>
    <w:semiHidden/>
    <w:unhideWhenUsed/>
    <w:rsid w:val="00B7199A"/>
    <w:rPr>
      <w:rFonts w:ascii="Tahoma" w:hAnsi="Tahoma" w:cs="Tahoma"/>
      <w:sz w:val="16"/>
      <w:szCs w:val="16"/>
    </w:rPr>
  </w:style>
  <w:style w:type="character" w:customStyle="1" w:styleId="BalloonTextChar">
    <w:name w:val="Balloon Text Char"/>
    <w:basedOn w:val="DefaultParagraphFont"/>
    <w:link w:val="BalloonText"/>
    <w:uiPriority w:val="99"/>
    <w:semiHidden/>
    <w:rsid w:val="00B7199A"/>
    <w:rPr>
      <w:rFonts w:ascii="Tahoma" w:hAnsi="Tahoma" w:cs="Tahoma"/>
      <w:sz w:val="16"/>
      <w:szCs w:val="16"/>
    </w:rPr>
  </w:style>
  <w:style w:type="character" w:customStyle="1" w:styleId="Heading2Char">
    <w:name w:val="Heading 2 Char"/>
    <w:basedOn w:val="DefaultParagraphFont"/>
    <w:link w:val="Heading2"/>
    <w:uiPriority w:val="9"/>
    <w:rsid w:val="00CA33FE"/>
    <w:rPr>
      <w:rFonts w:asciiTheme="majorHAnsi" w:eastAsiaTheme="majorEastAsia" w:hAnsiTheme="majorHAnsi" w:cstheme="majorBidi"/>
      <w:b/>
      <w:bCs/>
      <w:color w:val="6076B4" w:themeColor="accent1"/>
      <w:sz w:val="26"/>
      <w:szCs w:val="26"/>
    </w:rPr>
  </w:style>
  <w:style w:type="character" w:customStyle="1" w:styleId="Heading3Char">
    <w:name w:val="Heading 3 Char"/>
    <w:basedOn w:val="DefaultParagraphFont"/>
    <w:link w:val="Heading3"/>
    <w:uiPriority w:val="9"/>
    <w:rsid w:val="00CA33FE"/>
    <w:rPr>
      <w:rFonts w:asciiTheme="majorHAnsi" w:eastAsiaTheme="majorEastAsia" w:hAnsiTheme="majorHAnsi" w:cstheme="majorBidi"/>
      <w:b/>
      <w:bCs/>
      <w:color w:val="63891F" w:themeColor="accent5"/>
    </w:rPr>
  </w:style>
  <w:style w:type="paragraph" w:styleId="Header">
    <w:name w:val="header"/>
    <w:basedOn w:val="Normal"/>
    <w:link w:val="HeaderChar"/>
    <w:uiPriority w:val="99"/>
    <w:unhideWhenUsed/>
    <w:rsid w:val="00FB6221"/>
    <w:pPr>
      <w:tabs>
        <w:tab w:val="center" w:pos="4680"/>
        <w:tab w:val="right" w:pos="9360"/>
      </w:tabs>
    </w:pPr>
  </w:style>
  <w:style w:type="character" w:customStyle="1" w:styleId="HeaderChar">
    <w:name w:val="Header Char"/>
    <w:basedOn w:val="DefaultParagraphFont"/>
    <w:link w:val="Header"/>
    <w:uiPriority w:val="99"/>
    <w:rsid w:val="00FB6221"/>
  </w:style>
  <w:style w:type="paragraph" w:styleId="Footer">
    <w:name w:val="footer"/>
    <w:basedOn w:val="Normal"/>
    <w:link w:val="FooterChar"/>
    <w:uiPriority w:val="99"/>
    <w:unhideWhenUsed/>
    <w:rsid w:val="00FB6221"/>
    <w:pPr>
      <w:tabs>
        <w:tab w:val="center" w:pos="4680"/>
        <w:tab w:val="right" w:pos="9360"/>
      </w:tabs>
    </w:pPr>
  </w:style>
  <w:style w:type="character" w:customStyle="1" w:styleId="FooterChar">
    <w:name w:val="Footer Char"/>
    <w:basedOn w:val="DefaultParagraphFont"/>
    <w:link w:val="Footer"/>
    <w:uiPriority w:val="99"/>
    <w:rsid w:val="00FB6221"/>
  </w:style>
  <w:style w:type="paragraph" w:styleId="NormalWeb">
    <w:name w:val="Normal (Web)"/>
    <w:basedOn w:val="Normal"/>
    <w:uiPriority w:val="99"/>
    <w:semiHidden/>
    <w:unhideWhenUsed/>
    <w:rsid w:val="00B2445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7B6F"/>
    <w:rPr>
      <w:color w:val="3399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53469">
      <w:bodyDiv w:val="1"/>
      <w:marLeft w:val="0"/>
      <w:marRight w:val="0"/>
      <w:marTop w:val="0"/>
      <w:marBottom w:val="0"/>
      <w:divBdr>
        <w:top w:val="none" w:sz="0" w:space="0" w:color="auto"/>
        <w:left w:val="none" w:sz="0" w:space="0" w:color="auto"/>
        <w:bottom w:val="none" w:sz="0" w:space="0" w:color="auto"/>
        <w:right w:val="none" w:sz="0" w:space="0" w:color="auto"/>
      </w:divBdr>
    </w:div>
    <w:div w:id="1590113732">
      <w:bodyDiv w:val="1"/>
      <w:marLeft w:val="0"/>
      <w:marRight w:val="0"/>
      <w:marTop w:val="0"/>
      <w:marBottom w:val="0"/>
      <w:divBdr>
        <w:top w:val="none" w:sz="0" w:space="0" w:color="auto"/>
        <w:left w:val="none" w:sz="0" w:space="0" w:color="auto"/>
        <w:bottom w:val="none" w:sz="0" w:space="0" w:color="auto"/>
        <w:right w:val="none" w:sz="0" w:space="0" w:color="auto"/>
      </w:divBdr>
    </w:div>
    <w:div w:id="2064716752">
      <w:bodyDiv w:val="1"/>
      <w:marLeft w:val="0"/>
      <w:marRight w:val="0"/>
      <w:marTop w:val="0"/>
      <w:marBottom w:val="0"/>
      <w:divBdr>
        <w:top w:val="none" w:sz="0" w:space="0" w:color="auto"/>
        <w:left w:val="none" w:sz="0" w:space="0" w:color="auto"/>
        <w:bottom w:val="none" w:sz="0" w:space="0" w:color="auto"/>
        <w:right w:val="none" w:sz="0" w:space="0" w:color="auto"/>
      </w:divBdr>
      <w:divsChild>
        <w:div w:id="217283954">
          <w:marLeft w:val="446"/>
          <w:marRight w:val="0"/>
          <w:marTop w:val="0"/>
          <w:marBottom w:val="0"/>
          <w:divBdr>
            <w:top w:val="none" w:sz="0" w:space="0" w:color="auto"/>
            <w:left w:val="none" w:sz="0" w:space="0" w:color="auto"/>
            <w:bottom w:val="none" w:sz="0" w:space="0" w:color="auto"/>
            <w:right w:val="none" w:sz="0" w:space="0" w:color="auto"/>
          </w:divBdr>
        </w:div>
        <w:div w:id="2090230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9EB3FB-E2EF-46E5-AE59-F94C2E8F25DD}"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US"/>
        </a:p>
      </dgm:t>
    </dgm:pt>
    <dgm:pt modelId="{35A38EE6-AFF1-46D6-9552-22B8B57FB925}">
      <dgm:prSet phldrT="[Text]" custT="1"/>
      <dgm:spPr>
        <a:solidFill>
          <a:schemeClr val="accent1"/>
        </a:solidFill>
      </dgm:spPr>
      <dgm:t>
        <a:bodyPr/>
        <a:lstStyle/>
        <a:p>
          <a:r>
            <a:rPr lang="en-US" sz="1200"/>
            <a:t>Now</a:t>
          </a:r>
        </a:p>
      </dgm:t>
    </dgm:pt>
    <dgm:pt modelId="{93C45C5B-4687-4EB6-9669-2BEB62FDA6C9}" type="parTrans" cxnId="{86317094-A72F-4525-9782-BD9A1EE7A7F2}">
      <dgm:prSet/>
      <dgm:spPr/>
      <dgm:t>
        <a:bodyPr/>
        <a:lstStyle/>
        <a:p>
          <a:endParaRPr lang="en-US"/>
        </a:p>
      </dgm:t>
    </dgm:pt>
    <dgm:pt modelId="{C063181A-4738-40CA-8969-E4B83F029710}" type="sibTrans" cxnId="{86317094-A72F-4525-9782-BD9A1EE7A7F2}">
      <dgm:prSet/>
      <dgm:spPr/>
      <dgm:t>
        <a:bodyPr/>
        <a:lstStyle/>
        <a:p>
          <a:endParaRPr lang="en-US"/>
        </a:p>
      </dgm:t>
    </dgm:pt>
    <dgm:pt modelId="{86042407-B4CF-4B2A-9026-7D4259D1B35E}">
      <dgm:prSet phldrT="[Text]" custT="1"/>
      <dgm:spPr/>
      <dgm:t>
        <a:bodyPr/>
        <a:lstStyle/>
        <a:p>
          <a:r>
            <a:rPr lang="en-US" sz="1100"/>
            <a:t>SAFE-T</a:t>
          </a:r>
        </a:p>
      </dgm:t>
    </dgm:pt>
    <dgm:pt modelId="{DA53A720-9E71-4D7D-888D-57D08F7E9D10}" type="parTrans" cxnId="{7B629E9E-CF76-4073-B66C-B2DD56373F70}">
      <dgm:prSet/>
      <dgm:spPr/>
      <dgm:t>
        <a:bodyPr/>
        <a:lstStyle/>
        <a:p>
          <a:endParaRPr lang="en-US"/>
        </a:p>
      </dgm:t>
    </dgm:pt>
    <dgm:pt modelId="{31394E8F-5A6D-488C-AE98-A0F09CE47428}" type="sibTrans" cxnId="{7B629E9E-CF76-4073-B66C-B2DD56373F70}">
      <dgm:prSet/>
      <dgm:spPr/>
      <dgm:t>
        <a:bodyPr/>
        <a:lstStyle/>
        <a:p>
          <a:endParaRPr lang="en-US"/>
        </a:p>
      </dgm:t>
    </dgm:pt>
    <dgm:pt modelId="{236A1FAC-4DE3-43E8-8639-228A7EC1C89A}">
      <dgm:prSet phldrT="[Text]" custT="1"/>
      <dgm:spPr/>
      <dgm:t>
        <a:bodyPr/>
        <a:lstStyle/>
        <a:p>
          <a:r>
            <a:rPr lang="en-US" sz="1100"/>
            <a:t>ADEPT Performance Standards (APS)</a:t>
          </a:r>
        </a:p>
      </dgm:t>
    </dgm:pt>
    <dgm:pt modelId="{79B482DE-4D7E-431F-BCA5-E0433AA63029}" type="parTrans" cxnId="{24947EF4-E464-40D2-A14D-79392B9B0AA4}">
      <dgm:prSet/>
      <dgm:spPr/>
      <dgm:t>
        <a:bodyPr/>
        <a:lstStyle/>
        <a:p>
          <a:endParaRPr lang="en-US"/>
        </a:p>
      </dgm:t>
    </dgm:pt>
    <dgm:pt modelId="{8CB868E9-2F1F-478F-A621-FA3DD3B30F2C}" type="sibTrans" cxnId="{24947EF4-E464-40D2-A14D-79392B9B0AA4}">
      <dgm:prSet/>
      <dgm:spPr/>
      <dgm:t>
        <a:bodyPr/>
        <a:lstStyle/>
        <a:p>
          <a:endParaRPr lang="en-US"/>
        </a:p>
      </dgm:t>
    </dgm:pt>
    <dgm:pt modelId="{909F4617-588F-49BE-90D3-D3090A0C1626}">
      <dgm:prSet phldrT="[Text]" custT="1"/>
      <dgm:spPr>
        <a:solidFill>
          <a:schemeClr val="accent5"/>
        </a:solidFill>
      </dgm:spPr>
      <dgm:t>
        <a:bodyPr/>
        <a:lstStyle/>
        <a:p>
          <a:r>
            <a:rPr lang="en-US" sz="1200"/>
            <a:t>2018-19</a:t>
          </a:r>
        </a:p>
      </dgm:t>
    </dgm:pt>
    <dgm:pt modelId="{D20F07E5-A19E-4913-AA5C-01009002FE72}" type="parTrans" cxnId="{239CDBBE-AF5F-41F2-8F42-270CC33A50AE}">
      <dgm:prSet/>
      <dgm:spPr/>
      <dgm:t>
        <a:bodyPr/>
        <a:lstStyle/>
        <a:p>
          <a:endParaRPr lang="en-US"/>
        </a:p>
      </dgm:t>
    </dgm:pt>
    <dgm:pt modelId="{3242125E-BF9D-407C-907A-17D7BA65DE16}" type="sibTrans" cxnId="{239CDBBE-AF5F-41F2-8F42-270CC33A50AE}">
      <dgm:prSet/>
      <dgm:spPr/>
      <dgm:t>
        <a:bodyPr/>
        <a:lstStyle/>
        <a:p>
          <a:endParaRPr lang="en-US"/>
        </a:p>
      </dgm:t>
    </dgm:pt>
    <dgm:pt modelId="{5F1B2B8D-EF59-4264-9349-7288095AA7EF}">
      <dgm:prSet phldrT="[Text]" custT="1"/>
      <dgm:spPr/>
      <dgm:t>
        <a:bodyPr/>
        <a:lstStyle/>
        <a:p>
          <a:r>
            <a:rPr lang="en-US" sz="1100"/>
            <a:t>Expanded ADEPT process</a:t>
          </a:r>
        </a:p>
      </dgm:t>
    </dgm:pt>
    <dgm:pt modelId="{B74BC401-1A7A-45EF-BA92-5B126AEBD028}" type="parTrans" cxnId="{7E85A32F-00A8-41BA-986A-41DFD2994C99}">
      <dgm:prSet/>
      <dgm:spPr/>
      <dgm:t>
        <a:bodyPr/>
        <a:lstStyle/>
        <a:p>
          <a:endParaRPr lang="en-US"/>
        </a:p>
      </dgm:t>
    </dgm:pt>
    <dgm:pt modelId="{B2A94288-4C6D-45B8-A802-693C36736444}" type="sibTrans" cxnId="{7E85A32F-00A8-41BA-986A-41DFD2994C99}">
      <dgm:prSet/>
      <dgm:spPr/>
      <dgm:t>
        <a:bodyPr/>
        <a:lstStyle/>
        <a:p>
          <a:endParaRPr lang="en-US"/>
        </a:p>
      </dgm:t>
    </dgm:pt>
    <dgm:pt modelId="{5540AF10-958D-4744-B59A-5BE3B42EA8BA}">
      <dgm:prSet phldrT="[Text]" custT="1"/>
      <dgm:spPr/>
      <dgm:t>
        <a:bodyPr/>
        <a:lstStyle/>
        <a:p>
          <a:r>
            <a:rPr lang="en-US" sz="1100"/>
            <a:t>SC Teaching Standards (SCTS</a:t>
          </a:r>
          <a:r>
            <a:rPr lang="en-US" sz="1200"/>
            <a:t>)</a:t>
          </a:r>
        </a:p>
      </dgm:t>
    </dgm:pt>
    <dgm:pt modelId="{D412D3E6-98E4-41A9-AEE1-64E797C7776D}" type="parTrans" cxnId="{560821E7-5313-4550-985A-10B062AA4496}">
      <dgm:prSet/>
      <dgm:spPr/>
      <dgm:t>
        <a:bodyPr/>
        <a:lstStyle/>
        <a:p>
          <a:endParaRPr lang="en-US"/>
        </a:p>
      </dgm:t>
    </dgm:pt>
    <dgm:pt modelId="{742F5FB3-F0D0-4660-B42E-881E00CB86E7}" type="sibTrans" cxnId="{560821E7-5313-4550-985A-10B062AA4496}">
      <dgm:prSet/>
      <dgm:spPr/>
      <dgm:t>
        <a:bodyPr/>
        <a:lstStyle/>
        <a:p>
          <a:endParaRPr lang="en-US"/>
        </a:p>
      </dgm:t>
    </dgm:pt>
    <dgm:pt modelId="{98D3B5C3-1CED-439B-B773-6542FE6C217D}" type="pres">
      <dgm:prSet presAssocID="{2B9EB3FB-E2EF-46E5-AE59-F94C2E8F25DD}" presName="theList" presStyleCnt="0">
        <dgm:presLayoutVars>
          <dgm:dir/>
          <dgm:animLvl val="lvl"/>
          <dgm:resizeHandles val="exact"/>
        </dgm:presLayoutVars>
      </dgm:prSet>
      <dgm:spPr/>
      <dgm:t>
        <a:bodyPr/>
        <a:lstStyle/>
        <a:p>
          <a:endParaRPr lang="en-US"/>
        </a:p>
      </dgm:t>
    </dgm:pt>
    <dgm:pt modelId="{C8AE0710-03FF-464F-A1E9-70F87C6EC308}" type="pres">
      <dgm:prSet presAssocID="{35A38EE6-AFF1-46D6-9552-22B8B57FB925}" presName="compNode" presStyleCnt="0"/>
      <dgm:spPr/>
    </dgm:pt>
    <dgm:pt modelId="{041735BB-DFED-4955-A2C4-6A20662C2A44}" type="pres">
      <dgm:prSet presAssocID="{35A38EE6-AFF1-46D6-9552-22B8B57FB925}" presName="noGeometry" presStyleCnt="0"/>
      <dgm:spPr/>
    </dgm:pt>
    <dgm:pt modelId="{8418BD63-CFAE-41A3-804F-946B0B1B5F51}" type="pres">
      <dgm:prSet presAssocID="{35A38EE6-AFF1-46D6-9552-22B8B57FB925}" presName="childTextVisible" presStyleLbl="bgAccFollowNode1" presStyleIdx="0" presStyleCnt="2" custScaleX="313842" custLinFactNeighborX="-57405">
        <dgm:presLayoutVars>
          <dgm:bulletEnabled val="1"/>
        </dgm:presLayoutVars>
      </dgm:prSet>
      <dgm:spPr/>
      <dgm:t>
        <a:bodyPr/>
        <a:lstStyle/>
        <a:p>
          <a:endParaRPr lang="en-US"/>
        </a:p>
      </dgm:t>
    </dgm:pt>
    <dgm:pt modelId="{20467EBF-E586-4DF5-96C4-7B6D799181B3}" type="pres">
      <dgm:prSet presAssocID="{35A38EE6-AFF1-46D6-9552-22B8B57FB925}" presName="childTextHidden" presStyleLbl="bgAccFollowNode1" presStyleIdx="0" presStyleCnt="2"/>
      <dgm:spPr/>
      <dgm:t>
        <a:bodyPr/>
        <a:lstStyle/>
        <a:p>
          <a:endParaRPr lang="en-US"/>
        </a:p>
      </dgm:t>
    </dgm:pt>
    <dgm:pt modelId="{9D25D2CC-9EFB-494B-B303-4ABB09B4EE58}" type="pres">
      <dgm:prSet presAssocID="{35A38EE6-AFF1-46D6-9552-22B8B57FB925}" presName="parentText" presStyleLbl="node1" presStyleIdx="0" presStyleCnt="2" custScaleX="146410" custScaleY="146410" custLinFactX="-100000" custLinFactNeighborX="-164500" custLinFactNeighborY="-1160">
        <dgm:presLayoutVars>
          <dgm:chMax val="1"/>
          <dgm:bulletEnabled val="1"/>
        </dgm:presLayoutVars>
      </dgm:prSet>
      <dgm:spPr/>
      <dgm:t>
        <a:bodyPr/>
        <a:lstStyle/>
        <a:p>
          <a:endParaRPr lang="en-US"/>
        </a:p>
      </dgm:t>
    </dgm:pt>
    <dgm:pt modelId="{9DA05870-3B4D-45B5-8C70-EB2BF4DC0517}" type="pres">
      <dgm:prSet presAssocID="{35A38EE6-AFF1-46D6-9552-22B8B57FB925}" presName="aSpace" presStyleCnt="0"/>
      <dgm:spPr/>
    </dgm:pt>
    <dgm:pt modelId="{BA7B2B4D-AF9B-4CBA-B389-FA5CDA243E47}" type="pres">
      <dgm:prSet presAssocID="{909F4617-588F-49BE-90D3-D3090A0C1626}" presName="compNode" presStyleCnt="0"/>
      <dgm:spPr/>
    </dgm:pt>
    <dgm:pt modelId="{19857460-EC81-4603-8273-598E72B47124}" type="pres">
      <dgm:prSet presAssocID="{909F4617-588F-49BE-90D3-D3090A0C1626}" presName="noGeometry" presStyleCnt="0"/>
      <dgm:spPr/>
    </dgm:pt>
    <dgm:pt modelId="{243344B6-7A10-4450-956B-F93A7CADB818}" type="pres">
      <dgm:prSet presAssocID="{909F4617-588F-49BE-90D3-D3090A0C1626}" presName="childTextVisible" presStyleLbl="bgAccFollowNode1" presStyleIdx="1" presStyleCnt="2" custScaleX="379749">
        <dgm:presLayoutVars>
          <dgm:bulletEnabled val="1"/>
        </dgm:presLayoutVars>
      </dgm:prSet>
      <dgm:spPr/>
      <dgm:t>
        <a:bodyPr/>
        <a:lstStyle/>
        <a:p>
          <a:endParaRPr lang="en-US"/>
        </a:p>
      </dgm:t>
    </dgm:pt>
    <dgm:pt modelId="{8499D52C-5F49-4D6A-B71F-CED512CED38A}" type="pres">
      <dgm:prSet presAssocID="{909F4617-588F-49BE-90D3-D3090A0C1626}" presName="childTextHidden" presStyleLbl="bgAccFollowNode1" presStyleIdx="1" presStyleCnt="2"/>
      <dgm:spPr/>
      <dgm:t>
        <a:bodyPr/>
        <a:lstStyle/>
        <a:p>
          <a:endParaRPr lang="en-US"/>
        </a:p>
      </dgm:t>
    </dgm:pt>
    <dgm:pt modelId="{5461F1CB-D4D9-454F-973E-BC80671A6961}" type="pres">
      <dgm:prSet presAssocID="{909F4617-588F-49BE-90D3-D3090A0C1626}" presName="parentText" presStyleLbl="node1" presStyleIdx="1" presStyleCnt="2" custScaleX="146410" custScaleY="146410" custLinFactX="-100000" custLinFactNeighborX="-109144">
        <dgm:presLayoutVars>
          <dgm:chMax val="1"/>
          <dgm:bulletEnabled val="1"/>
        </dgm:presLayoutVars>
      </dgm:prSet>
      <dgm:spPr/>
      <dgm:t>
        <a:bodyPr/>
        <a:lstStyle/>
        <a:p>
          <a:endParaRPr lang="en-US"/>
        </a:p>
      </dgm:t>
    </dgm:pt>
  </dgm:ptLst>
  <dgm:cxnLst>
    <dgm:cxn modelId="{560821E7-5313-4550-985A-10B062AA4496}" srcId="{909F4617-588F-49BE-90D3-D3090A0C1626}" destId="{5540AF10-958D-4744-B59A-5BE3B42EA8BA}" srcOrd="1" destOrd="0" parTransId="{D412D3E6-98E4-41A9-AEE1-64E797C7776D}" sibTransId="{742F5FB3-F0D0-4660-B42E-881E00CB86E7}"/>
    <dgm:cxn modelId="{7B629E9E-CF76-4073-B66C-B2DD56373F70}" srcId="{35A38EE6-AFF1-46D6-9552-22B8B57FB925}" destId="{86042407-B4CF-4B2A-9026-7D4259D1B35E}" srcOrd="0" destOrd="0" parTransId="{DA53A720-9E71-4D7D-888D-57D08F7E9D10}" sibTransId="{31394E8F-5A6D-488C-AE98-A0F09CE47428}"/>
    <dgm:cxn modelId="{E76F31DC-FAAE-43AA-B72A-E2B926CED14F}" type="presOf" srcId="{236A1FAC-4DE3-43E8-8639-228A7EC1C89A}" destId="{20467EBF-E586-4DF5-96C4-7B6D799181B3}" srcOrd="1" destOrd="1" presId="urn:microsoft.com/office/officeart/2005/8/layout/hProcess6"/>
    <dgm:cxn modelId="{24947EF4-E464-40D2-A14D-79392B9B0AA4}" srcId="{35A38EE6-AFF1-46D6-9552-22B8B57FB925}" destId="{236A1FAC-4DE3-43E8-8639-228A7EC1C89A}" srcOrd="1" destOrd="0" parTransId="{79B482DE-4D7E-431F-BCA5-E0433AA63029}" sibTransId="{8CB868E9-2F1F-478F-A621-FA3DD3B30F2C}"/>
    <dgm:cxn modelId="{6E70F1A0-84A5-4511-AEDE-EFDC9A26CE66}" type="presOf" srcId="{86042407-B4CF-4B2A-9026-7D4259D1B35E}" destId="{8418BD63-CFAE-41A3-804F-946B0B1B5F51}" srcOrd="0" destOrd="0" presId="urn:microsoft.com/office/officeart/2005/8/layout/hProcess6"/>
    <dgm:cxn modelId="{D8650E45-3571-401D-A976-A68F3853A11E}" type="presOf" srcId="{5540AF10-958D-4744-B59A-5BE3B42EA8BA}" destId="{8499D52C-5F49-4D6A-B71F-CED512CED38A}" srcOrd="1" destOrd="1" presId="urn:microsoft.com/office/officeart/2005/8/layout/hProcess6"/>
    <dgm:cxn modelId="{8C005129-9246-4843-A956-C0E4B592CDA3}" type="presOf" srcId="{236A1FAC-4DE3-43E8-8639-228A7EC1C89A}" destId="{8418BD63-CFAE-41A3-804F-946B0B1B5F51}" srcOrd="0" destOrd="1" presId="urn:microsoft.com/office/officeart/2005/8/layout/hProcess6"/>
    <dgm:cxn modelId="{BC7FEE1E-2B27-42B6-8C67-2FEC8D4DEEB1}" type="presOf" srcId="{5F1B2B8D-EF59-4264-9349-7288095AA7EF}" destId="{8499D52C-5F49-4D6A-B71F-CED512CED38A}" srcOrd="1" destOrd="0" presId="urn:microsoft.com/office/officeart/2005/8/layout/hProcess6"/>
    <dgm:cxn modelId="{7E85A32F-00A8-41BA-986A-41DFD2994C99}" srcId="{909F4617-588F-49BE-90D3-D3090A0C1626}" destId="{5F1B2B8D-EF59-4264-9349-7288095AA7EF}" srcOrd="0" destOrd="0" parTransId="{B74BC401-1A7A-45EF-BA92-5B126AEBD028}" sibTransId="{B2A94288-4C6D-45B8-A802-693C36736444}"/>
    <dgm:cxn modelId="{239CDBBE-AF5F-41F2-8F42-270CC33A50AE}" srcId="{2B9EB3FB-E2EF-46E5-AE59-F94C2E8F25DD}" destId="{909F4617-588F-49BE-90D3-D3090A0C1626}" srcOrd="1" destOrd="0" parTransId="{D20F07E5-A19E-4913-AA5C-01009002FE72}" sibTransId="{3242125E-BF9D-407C-907A-17D7BA65DE16}"/>
    <dgm:cxn modelId="{86317094-A72F-4525-9782-BD9A1EE7A7F2}" srcId="{2B9EB3FB-E2EF-46E5-AE59-F94C2E8F25DD}" destId="{35A38EE6-AFF1-46D6-9552-22B8B57FB925}" srcOrd="0" destOrd="0" parTransId="{93C45C5B-4687-4EB6-9669-2BEB62FDA6C9}" sibTransId="{C063181A-4738-40CA-8969-E4B83F029710}"/>
    <dgm:cxn modelId="{05AD43E7-32F5-49D0-AD68-019E9CE617A0}" type="presOf" srcId="{5F1B2B8D-EF59-4264-9349-7288095AA7EF}" destId="{243344B6-7A10-4450-956B-F93A7CADB818}" srcOrd="0" destOrd="0" presId="urn:microsoft.com/office/officeart/2005/8/layout/hProcess6"/>
    <dgm:cxn modelId="{25783787-2AC5-4361-939A-AE7EF759A928}" type="presOf" srcId="{2B9EB3FB-E2EF-46E5-AE59-F94C2E8F25DD}" destId="{98D3B5C3-1CED-439B-B773-6542FE6C217D}" srcOrd="0" destOrd="0" presId="urn:microsoft.com/office/officeart/2005/8/layout/hProcess6"/>
    <dgm:cxn modelId="{9D9F9623-9A6B-4E90-8B38-8BD9C48270A1}" type="presOf" srcId="{86042407-B4CF-4B2A-9026-7D4259D1B35E}" destId="{20467EBF-E586-4DF5-96C4-7B6D799181B3}" srcOrd="1" destOrd="0" presId="urn:microsoft.com/office/officeart/2005/8/layout/hProcess6"/>
    <dgm:cxn modelId="{4A735938-872E-420A-BBA7-341F0CFF1067}" type="presOf" srcId="{909F4617-588F-49BE-90D3-D3090A0C1626}" destId="{5461F1CB-D4D9-454F-973E-BC80671A6961}" srcOrd="0" destOrd="0" presId="urn:microsoft.com/office/officeart/2005/8/layout/hProcess6"/>
    <dgm:cxn modelId="{82513C49-8514-4ACD-8602-AF9F50AF5C29}" type="presOf" srcId="{35A38EE6-AFF1-46D6-9552-22B8B57FB925}" destId="{9D25D2CC-9EFB-494B-B303-4ABB09B4EE58}" srcOrd="0" destOrd="0" presId="urn:microsoft.com/office/officeart/2005/8/layout/hProcess6"/>
    <dgm:cxn modelId="{3BBA83EB-954F-4E71-A799-B440400BF7B4}" type="presOf" srcId="{5540AF10-958D-4744-B59A-5BE3B42EA8BA}" destId="{243344B6-7A10-4450-956B-F93A7CADB818}" srcOrd="0" destOrd="1" presId="urn:microsoft.com/office/officeart/2005/8/layout/hProcess6"/>
    <dgm:cxn modelId="{37DC3391-E210-4557-AB14-B5503F1B14EE}" type="presParOf" srcId="{98D3B5C3-1CED-439B-B773-6542FE6C217D}" destId="{C8AE0710-03FF-464F-A1E9-70F87C6EC308}" srcOrd="0" destOrd="0" presId="urn:microsoft.com/office/officeart/2005/8/layout/hProcess6"/>
    <dgm:cxn modelId="{8F1278AB-6068-419D-98AF-17488966BDB0}" type="presParOf" srcId="{C8AE0710-03FF-464F-A1E9-70F87C6EC308}" destId="{041735BB-DFED-4955-A2C4-6A20662C2A44}" srcOrd="0" destOrd="0" presId="urn:microsoft.com/office/officeart/2005/8/layout/hProcess6"/>
    <dgm:cxn modelId="{A27650B5-FE10-4419-A264-1374DB21FD02}" type="presParOf" srcId="{C8AE0710-03FF-464F-A1E9-70F87C6EC308}" destId="{8418BD63-CFAE-41A3-804F-946B0B1B5F51}" srcOrd="1" destOrd="0" presId="urn:microsoft.com/office/officeart/2005/8/layout/hProcess6"/>
    <dgm:cxn modelId="{78952D43-B847-42DD-98D4-CA20A6202289}" type="presParOf" srcId="{C8AE0710-03FF-464F-A1E9-70F87C6EC308}" destId="{20467EBF-E586-4DF5-96C4-7B6D799181B3}" srcOrd="2" destOrd="0" presId="urn:microsoft.com/office/officeart/2005/8/layout/hProcess6"/>
    <dgm:cxn modelId="{99C90AEA-C172-4160-92D9-5AC28C6BB356}" type="presParOf" srcId="{C8AE0710-03FF-464F-A1E9-70F87C6EC308}" destId="{9D25D2CC-9EFB-494B-B303-4ABB09B4EE58}" srcOrd="3" destOrd="0" presId="urn:microsoft.com/office/officeart/2005/8/layout/hProcess6"/>
    <dgm:cxn modelId="{309A6B36-AE74-4433-9EE6-9747F358CBA9}" type="presParOf" srcId="{98D3B5C3-1CED-439B-B773-6542FE6C217D}" destId="{9DA05870-3B4D-45B5-8C70-EB2BF4DC0517}" srcOrd="1" destOrd="0" presId="urn:microsoft.com/office/officeart/2005/8/layout/hProcess6"/>
    <dgm:cxn modelId="{1E1DC39A-EB3C-47CC-8499-3156FC10B82C}" type="presParOf" srcId="{98D3B5C3-1CED-439B-B773-6542FE6C217D}" destId="{BA7B2B4D-AF9B-4CBA-B389-FA5CDA243E47}" srcOrd="2" destOrd="0" presId="urn:microsoft.com/office/officeart/2005/8/layout/hProcess6"/>
    <dgm:cxn modelId="{CBAD527D-F2D2-44C5-8766-D0BDC1F59733}" type="presParOf" srcId="{BA7B2B4D-AF9B-4CBA-B389-FA5CDA243E47}" destId="{19857460-EC81-4603-8273-598E72B47124}" srcOrd="0" destOrd="0" presId="urn:microsoft.com/office/officeart/2005/8/layout/hProcess6"/>
    <dgm:cxn modelId="{596413DA-0749-445F-8DDF-4F6FD47E32C3}" type="presParOf" srcId="{BA7B2B4D-AF9B-4CBA-B389-FA5CDA243E47}" destId="{243344B6-7A10-4450-956B-F93A7CADB818}" srcOrd="1" destOrd="0" presId="urn:microsoft.com/office/officeart/2005/8/layout/hProcess6"/>
    <dgm:cxn modelId="{AA6E48B9-86F6-4865-AFBA-4D5FB42A8BE1}" type="presParOf" srcId="{BA7B2B4D-AF9B-4CBA-B389-FA5CDA243E47}" destId="{8499D52C-5F49-4D6A-B71F-CED512CED38A}" srcOrd="2" destOrd="0" presId="urn:microsoft.com/office/officeart/2005/8/layout/hProcess6"/>
    <dgm:cxn modelId="{CCDC5BFB-D3C4-4F69-90FE-81E816FDA1AF}" type="presParOf" srcId="{BA7B2B4D-AF9B-4CBA-B389-FA5CDA243E47}" destId="{5461F1CB-D4D9-454F-973E-BC80671A6961}" srcOrd="3" destOrd="0" presId="urn:microsoft.com/office/officeart/2005/8/layout/hProcess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18BD63-CFAE-41A3-804F-946B0B1B5F51}">
      <dsp:nvSpPr>
        <dsp:cNvPr id="0" name=""/>
        <dsp:cNvSpPr/>
      </dsp:nvSpPr>
      <dsp:spPr>
        <a:xfrm>
          <a:off x="225606" y="0"/>
          <a:ext cx="2291273" cy="638175"/>
        </a:xfrm>
        <a:prstGeom prst="rightArrow">
          <a:avLst>
            <a:gd name="adj1" fmla="val 70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13970"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SAFE-T</a:t>
          </a:r>
        </a:p>
        <a:p>
          <a:pPr marL="57150" lvl="1" indent="-57150" algn="l" defTabSz="488950">
            <a:lnSpc>
              <a:spcPct val="90000"/>
            </a:lnSpc>
            <a:spcBef>
              <a:spcPct val="0"/>
            </a:spcBef>
            <a:spcAft>
              <a:spcPct val="15000"/>
            </a:spcAft>
            <a:buChar char="••"/>
          </a:pPr>
          <a:r>
            <a:rPr lang="en-US" sz="1100" kern="1200"/>
            <a:t>ADEPT Performance Standards (APS)</a:t>
          </a:r>
        </a:p>
      </dsp:txBody>
      <dsp:txXfrm>
        <a:off x="798424" y="95726"/>
        <a:ext cx="1495093" cy="446723"/>
      </dsp:txXfrm>
    </dsp:sp>
    <dsp:sp modelId="{9D25D2CC-9EFB-494B-B303-4ABB09B4EE58}">
      <dsp:nvSpPr>
        <dsp:cNvPr id="0" name=""/>
        <dsp:cNvSpPr/>
      </dsp:nvSpPr>
      <dsp:spPr>
        <a:xfrm>
          <a:off x="192559" y="47628"/>
          <a:ext cx="534449" cy="534449"/>
        </a:xfrm>
        <a:prstGeom prst="ellipse">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Now</a:t>
          </a:r>
        </a:p>
      </dsp:txBody>
      <dsp:txXfrm>
        <a:off x="270827" y="125896"/>
        <a:ext cx="377913" cy="377913"/>
      </dsp:txXfrm>
    </dsp:sp>
    <dsp:sp modelId="{243344B6-7A10-4450-956B-F93A7CADB818}">
      <dsp:nvSpPr>
        <dsp:cNvPr id="0" name=""/>
        <dsp:cNvSpPr/>
      </dsp:nvSpPr>
      <dsp:spPr>
        <a:xfrm>
          <a:off x="2993178" y="0"/>
          <a:ext cx="2772441" cy="638175"/>
        </a:xfrm>
        <a:prstGeom prst="rightArrow">
          <a:avLst>
            <a:gd name="adj1" fmla="val 70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13970"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Expanded ADEPT process</a:t>
          </a:r>
        </a:p>
        <a:p>
          <a:pPr marL="57150" lvl="1" indent="-57150" algn="l" defTabSz="488950">
            <a:lnSpc>
              <a:spcPct val="90000"/>
            </a:lnSpc>
            <a:spcBef>
              <a:spcPct val="0"/>
            </a:spcBef>
            <a:spcAft>
              <a:spcPct val="15000"/>
            </a:spcAft>
            <a:buChar char="••"/>
          </a:pPr>
          <a:r>
            <a:rPr lang="en-US" sz="1100" kern="1200"/>
            <a:t>SC Teaching Standards (SCTS</a:t>
          </a:r>
          <a:r>
            <a:rPr lang="en-US" sz="1200" kern="1200"/>
            <a:t>)</a:t>
          </a:r>
        </a:p>
      </dsp:txBody>
      <dsp:txXfrm>
        <a:off x="3686289" y="95726"/>
        <a:ext cx="1855970" cy="446723"/>
      </dsp:txXfrm>
    </dsp:sp>
    <dsp:sp modelId="{5461F1CB-D4D9-454F-973E-BC80671A6961}">
      <dsp:nvSpPr>
        <dsp:cNvPr id="0" name=""/>
        <dsp:cNvSpPr/>
      </dsp:nvSpPr>
      <dsp:spPr>
        <a:xfrm>
          <a:off x="2983687" y="51862"/>
          <a:ext cx="534449" cy="534449"/>
        </a:xfrm>
        <a:prstGeom prst="ellipse">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2018-19</a:t>
          </a:r>
        </a:p>
      </dsp:txBody>
      <dsp:txXfrm>
        <a:off x="3061955" y="130130"/>
        <a:ext cx="377913" cy="37791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92B3-C487-47CB-90DE-9007DD08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Lilla Toal Mandsager</dc:creator>
  <cp:lastModifiedBy>Lilla Toal Mandsager</cp:lastModifiedBy>
  <cp:revision>4</cp:revision>
  <cp:lastPrinted>2016-09-23T16:51:00Z</cp:lastPrinted>
  <dcterms:created xsi:type="dcterms:W3CDTF">2017-03-29T20:47:00Z</dcterms:created>
  <dcterms:modified xsi:type="dcterms:W3CDTF">2017-03-29T20:57:00Z</dcterms:modified>
</cp:coreProperties>
</file>